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22B2F">
      <w:pPr>
        <w:pStyle w:val="12"/>
        <w:jc w:val="center"/>
        <w:rPr>
          <w:sz w:val="23"/>
          <w:szCs w:val="23"/>
        </w:rPr>
      </w:pPr>
      <w:bookmarkStart w:id="9" w:name="_GoBack"/>
      <w:bookmarkEnd w:id="9"/>
      <w:r>
        <w:rPr>
          <w:b/>
          <w:bCs/>
          <w:sz w:val="23"/>
          <w:szCs w:val="23"/>
          <w:highlight w:val="yellow"/>
        </w:rPr>
        <w:t xml:space="preserve">A </w:t>
      </w:r>
      <w:r>
        <w:rPr>
          <w:b/>
          <w:bCs/>
          <w:color w:val="000000"/>
          <w:sz w:val="23"/>
          <w:szCs w:val="23"/>
          <w:highlight w:val="yellow"/>
        </w:rPr>
        <w:t>LA DIRECCIÓN GENERAL DE FUNCIÓN PÚBLICA</w:t>
      </w:r>
    </w:p>
    <w:p w14:paraId="03CF065C">
      <w:pPr>
        <w:pStyle w:val="12"/>
        <w:jc w:val="center"/>
        <w:rPr>
          <w:color w:val="FF0000"/>
          <w:sz w:val="23"/>
          <w:szCs w:val="23"/>
        </w:rPr>
      </w:pPr>
      <w:r>
        <w:rPr>
          <w:b/>
          <w:bCs/>
          <w:color w:val="000000"/>
          <w:sz w:val="23"/>
          <w:szCs w:val="23"/>
          <w:highlight w:val="yellow"/>
        </w:rPr>
        <w:t>C/ DE LA DEMOCRACIA, 77 . CIUDAD ADVA. 9 DE OCTUBRE -TORRE 4</w:t>
      </w:r>
    </w:p>
    <w:p w14:paraId="4B433E09">
      <w:pPr>
        <w:pStyle w:val="12"/>
        <w:jc w:val="center"/>
        <w:rPr>
          <w:color w:val="FF0000"/>
          <w:sz w:val="23"/>
          <w:szCs w:val="23"/>
        </w:rPr>
      </w:pPr>
      <w:r>
        <w:rPr>
          <w:b/>
          <w:bCs/>
          <w:color w:val="000000"/>
          <w:sz w:val="23"/>
          <w:szCs w:val="23"/>
          <w:highlight w:val="yellow"/>
        </w:rPr>
        <w:t>46018 - Valencia</w:t>
      </w:r>
    </w:p>
    <w:p w14:paraId="72506F05">
      <w:pPr>
        <w:jc w:val="center"/>
        <w:rPr>
          <w:b/>
          <w:bCs/>
        </w:rPr>
      </w:pPr>
      <w:r>
        <w:rPr>
          <w:b/>
          <w:bCs/>
          <w:sz w:val="26"/>
          <w:szCs w:val="26"/>
        </w:rPr>
        <w:t>SOLICITUD DE FIJEZA</w:t>
      </w:r>
    </w:p>
    <w:p w14:paraId="0AF37E43">
      <w:pPr>
        <w:jc w:val="center"/>
        <w:rPr>
          <w:b/>
          <w:bCs/>
        </w:rPr>
      </w:pPr>
    </w:p>
    <w:p w14:paraId="0C7485A2">
      <w:pPr>
        <w:pStyle w:val="12"/>
        <w:jc w:val="both"/>
        <w:rPr>
          <w:sz w:val="22"/>
          <w:szCs w:val="22"/>
        </w:rPr>
      </w:pPr>
      <w:r>
        <w:rPr>
          <w:sz w:val="22"/>
          <w:szCs w:val="22"/>
        </w:rPr>
        <w:t xml:space="preserve">DNI: ………………………………….……, </w:t>
      </w:r>
    </w:p>
    <w:p w14:paraId="668944F2">
      <w:pPr>
        <w:pStyle w:val="12"/>
        <w:jc w:val="both"/>
        <w:rPr>
          <w:sz w:val="22"/>
          <w:szCs w:val="22"/>
        </w:rPr>
      </w:pPr>
    </w:p>
    <w:p w14:paraId="32187835">
      <w:pPr>
        <w:pStyle w:val="12"/>
        <w:jc w:val="both"/>
        <w:rPr>
          <w:sz w:val="22"/>
          <w:szCs w:val="22"/>
        </w:rPr>
      </w:pPr>
      <w:r>
        <w:rPr>
          <w:sz w:val="22"/>
          <w:szCs w:val="22"/>
        </w:rPr>
        <w:t>Nombre:………………………………………....………………………………………………</w:t>
      </w:r>
    </w:p>
    <w:p w14:paraId="242C0FF2">
      <w:pPr>
        <w:pStyle w:val="12"/>
        <w:jc w:val="both"/>
        <w:rPr>
          <w:sz w:val="22"/>
          <w:szCs w:val="22"/>
        </w:rPr>
      </w:pPr>
    </w:p>
    <w:p w14:paraId="377C003F">
      <w:pPr>
        <w:pStyle w:val="12"/>
        <w:jc w:val="both"/>
        <w:rPr>
          <w:sz w:val="22"/>
          <w:szCs w:val="22"/>
        </w:rPr>
      </w:pPr>
      <w:r>
        <w:rPr>
          <w:sz w:val="22"/>
          <w:szCs w:val="22"/>
        </w:rPr>
        <w:t>Apellido 1º:…………………………………………………...…………………………………</w:t>
      </w:r>
    </w:p>
    <w:p w14:paraId="39A7D732">
      <w:pPr>
        <w:pStyle w:val="12"/>
        <w:jc w:val="both"/>
        <w:rPr>
          <w:sz w:val="22"/>
          <w:szCs w:val="22"/>
        </w:rPr>
      </w:pPr>
    </w:p>
    <w:p w14:paraId="3CB52725">
      <w:pPr>
        <w:pStyle w:val="12"/>
        <w:jc w:val="both"/>
        <w:rPr>
          <w:sz w:val="22"/>
          <w:szCs w:val="22"/>
        </w:rPr>
      </w:pPr>
      <w:r>
        <w:rPr>
          <w:sz w:val="22"/>
          <w:szCs w:val="22"/>
        </w:rPr>
        <w:t xml:space="preserve">Apellido 2º:………………………………...………………………………………………… </w:t>
      </w:r>
    </w:p>
    <w:p w14:paraId="65C67D58">
      <w:pPr>
        <w:pStyle w:val="12"/>
        <w:jc w:val="both"/>
        <w:rPr>
          <w:sz w:val="22"/>
          <w:szCs w:val="22"/>
        </w:rPr>
      </w:pPr>
    </w:p>
    <w:p w14:paraId="3D65DFE0">
      <w:pPr>
        <w:pStyle w:val="12"/>
        <w:jc w:val="both"/>
        <w:rPr>
          <w:sz w:val="22"/>
          <w:szCs w:val="22"/>
        </w:rPr>
      </w:pPr>
      <w:r>
        <w:rPr>
          <w:sz w:val="22"/>
          <w:szCs w:val="22"/>
        </w:rPr>
        <w:t xml:space="preserve">A efecto de notificaciones: </w:t>
      </w:r>
    </w:p>
    <w:p w14:paraId="77321AD5">
      <w:pPr>
        <w:pStyle w:val="12"/>
        <w:jc w:val="both"/>
        <w:rPr>
          <w:sz w:val="22"/>
          <w:szCs w:val="22"/>
        </w:rPr>
      </w:pPr>
      <w:r>
        <w:rPr>
          <w:sz w:val="22"/>
          <w:szCs w:val="22"/>
        </w:rPr>
        <w:t xml:space="preserve">Correo electrónico……………………………………………………………………………… </w:t>
      </w:r>
    </w:p>
    <w:p w14:paraId="2D57D517">
      <w:pPr>
        <w:pStyle w:val="12"/>
        <w:jc w:val="both"/>
        <w:rPr>
          <w:sz w:val="22"/>
          <w:szCs w:val="22"/>
        </w:rPr>
      </w:pPr>
    </w:p>
    <w:p w14:paraId="597EFB8A">
      <w:pPr>
        <w:pStyle w:val="12"/>
        <w:jc w:val="both"/>
        <w:rPr>
          <w:sz w:val="22"/>
          <w:szCs w:val="22"/>
        </w:rPr>
      </w:pPr>
      <w:r>
        <w:rPr>
          <w:sz w:val="22"/>
          <w:szCs w:val="22"/>
        </w:rPr>
        <w:t>Código Postal: …………………</w:t>
      </w:r>
    </w:p>
    <w:p w14:paraId="154A5D55">
      <w:pPr>
        <w:pStyle w:val="12"/>
        <w:jc w:val="both"/>
        <w:rPr>
          <w:sz w:val="22"/>
          <w:szCs w:val="22"/>
        </w:rPr>
      </w:pPr>
    </w:p>
    <w:p w14:paraId="5DD86D00">
      <w:pPr>
        <w:pStyle w:val="12"/>
        <w:jc w:val="both"/>
        <w:rPr>
          <w:sz w:val="22"/>
          <w:szCs w:val="22"/>
        </w:rPr>
      </w:pPr>
      <w:r>
        <w:rPr>
          <w:sz w:val="22"/>
          <w:szCs w:val="22"/>
        </w:rPr>
        <w:t>Provincia: …………………………</w:t>
      </w:r>
    </w:p>
    <w:p w14:paraId="08B077F5">
      <w:pPr>
        <w:pStyle w:val="12"/>
        <w:jc w:val="both"/>
        <w:rPr>
          <w:sz w:val="22"/>
          <w:szCs w:val="22"/>
        </w:rPr>
      </w:pPr>
    </w:p>
    <w:p w14:paraId="2FE87587">
      <w:pPr>
        <w:pStyle w:val="12"/>
        <w:jc w:val="both"/>
        <w:rPr>
          <w:sz w:val="22"/>
          <w:szCs w:val="22"/>
        </w:rPr>
      </w:pPr>
      <w:r>
        <w:rPr>
          <w:sz w:val="22"/>
          <w:szCs w:val="22"/>
        </w:rPr>
        <w:t xml:space="preserve">Localidad: …………….……………. </w:t>
      </w:r>
    </w:p>
    <w:p w14:paraId="6ED8E643">
      <w:pPr>
        <w:pStyle w:val="12"/>
        <w:jc w:val="both"/>
        <w:rPr>
          <w:sz w:val="22"/>
          <w:szCs w:val="22"/>
        </w:rPr>
      </w:pPr>
    </w:p>
    <w:p w14:paraId="0EFF2396">
      <w:pPr>
        <w:pStyle w:val="12"/>
        <w:jc w:val="both"/>
        <w:rPr>
          <w:sz w:val="22"/>
          <w:szCs w:val="22"/>
        </w:rPr>
      </w:pPr>
      <w:r>
        <w:rPr>
          <w:sz w:val="22"/>
          <w:szCs w:val="22"/>
        </w:rPr>
        <w:t xml:space="preserve">Dirección: ………………………………………………………………………………. </w:t>
      </w:r>
    </w:p>
    <w:p w14:paraId="7E5BEE08">
      <w:pPr>
        <w:pStyle w:val="12"/>
        <w:jc w:val="both"/>
        <w:rPr>
          <w:sz w:val="22"/>
          <w:szCs w:val="22"/>
        </w:rPr>
      </w:pPr>
    </w:p>
    <w:p w14:paraId="1B7707F2">
      <w:pPr>
        <w:pStyle w:val="12"/>
        <w:jc w:val="both"/>
        <w:rPr>
          <w:sz w:val="22"/>
          <w:szCs w:val="22"/>
        </w:rPr>
      </w:pPr>
    </w:p>
    <w:p w14:paraId="7AA31B92">
      <w:pPr>
        <w:pStyle w:val="12"/>
        <w:jc w:val="both"/>
        <w:rPr>
          <w:sz w:val="22"/>
          <w:szCs w:val="22"/>
        </w:rPr>
      </w:pPr>
      <w:r>
        <w:rPr>
          <w:sz w:val="22"/>
          <w:szCs w:val="22"/>
        </w:rPr>
        <w:t xml:space="preserve">Ante ese Organismo comparezco y DIGO: </w:t>
      </w:r>
    </w:p>
    <w:p w14:paraId="7D50D37A">
      <w:pPr>
        <w:pStyle w:val="12"/>
        <w:jc w:val="both"/>
        <w:rPr>
          <w:sz w:val="22"/>
          <w:szCs w:val="22"/>
        </w:rPr>
      </w:pPr>
    </w:p>
    <w:p w14:paraId="0B711AED">
      <w:pPr>
        <w:pStyle w:val="12"/>
        <w:jc w:val="both"/>
        <w:rPr>
          <w:sz w:val="22"/>
          <w:szCs w:val="22"/>
        </w:rPr>
      </w:pPr>
      <w:r>
        <w:rPr>
          <w:sz w:val="22"/>
          <w:szCs w:val="22"/>
        </w:rPr>
        <w:t>Que mediante el presente escrito solicito la</w:t>
      </w:r>
      <w:r>
        <w:rPr>
          <w:b/>
          <w:bCs/>
          <w:sz w:val="22"/>
          <w:szCs w:val="22"/>
        </w:rPr>
        <w:t xml:space="preserve"> transformación en funcionario de carrera o subsidiariamente en empleado público fijo equiparable a los funcionarios de carrera</w:t>
      </w:r>
      <w:r>
        <w:rPr>
          <w:sz w:val="22"/>
          <w:szCs w:val="22"/>
        </w:rPr>
        <w:t xml:space="preserve"> con los mismos derechos que el resto de personal funcionarial para resolver el abuso en la relación funcionarial temporal que actualmente me une con la </w:t>
      </w:r>
      <w:r>
        <w:rPr>
          <w:sz w:val="22"/>
          <w:szCs w:val="22"/>
          <w:highlight w:val="yellow"/>
        </w:rPr>
        <w:t>XXXXXXXXXX</w:t>
      </w:r>
      <w:r>
        <w:rPr>
          <w:sz w:val="22"/>
          <w:szCs w:val="22"/>
        </w:rPr>
        <w:t>, en virtud de lo establecido en la STJUE de 13 de junio de 2024 y en base a las siguientes:</w:t>
      </w:r>
      <w:bookmarkStart w:id="0" w:name="_Hlk169175415"/>
      <w:bookmarkEnd w:id="0"/>
    </w:p>
    <w:p w14:paraId="6467E693">
      <w:pPr>
        <w:pStyle w:val="12"/>
        <w:jc w:val="both"/>
        <w:rPr>
          <w:sz w:val="22"/>
          <w:szCs w:val="22"/>
        </w:rPr>
      </w:pPr>
    </w:p>
    <w:p w14:paraId="10B63CE5">
      <w:pPr>
        <w:pStyle w:val="12"/>
        <w:jc w:val="both"/>
        <w:rPr>
          <w:sz w:val="22"/>
          <w:szCs w:val="22"/>
        </w:rPr>
      </w:pPr>
    </w:p>
    <w:p w14:paraId="7CADA1E7">
      <w:pPr>
        <w:jc w:val="both"/>
      </w:pPr>
      <w:r>
        <w:rPr>
          <w:rFonts w:ascii="Arial" w:hAnsi="Arial"/>
          <w:b/>
        </w:rPr>
        <w:t>MANIFESTACIONES</w:t>
      </w:r>
    </w:p>
    <w:p w14:paraId="37EC0014">
      <w:pPr>
        <w:jc w:val="both"/>
      </w:pPr>
    </w:p>
    <w:p w14:paraId="6D5EBAF0">
      <w:pPr>
        <w:jc w:val="center"/>
      </w:pPr>
      <w:r>
        <w:rPr>
          <w:rFonts w:ascii="Arial" w:hAnsi="Arial" w:eastAsia="Calibri"/>
          <w:b/>
        </w:rPr>
        <w:t>Antecedentes</w:t>
      </w:r>
    </w:p>
    <w:p w14:paraId="2FE1074B">
      <w:pPr>
        <w:pStyle w:val="12"/>
        <w:jc w:val="both"/>
        <w:rPr>
          <w:sz w:val="22"/>
          <w:szCs w:val="22"/>
        </w:rPr>
      </w:pPr>
      <w:r>
        <w:rPr>
          <w:sz w:val="22"/>
          <w:szCs w:val="22"/>
        </w:rPr>
        <w:t xml:space="preserve">Actualmente ocupo plaza en </w:t>
      </w:r>
      <w:r>
        <w:rPr>
          <w:sz w:val="22"/>
          <w:szCs w:val="22"/>
          <w:highlight w:val="yellow"/>
        </w:rPr>
        <w:t xml:space="preserve">XXXXXXXX desde </w:t>
      </w:r>
      <w:r>
        <w:rPr>
          <w:color w:val="auto"/>
          <w:sz w:val="22"/>
          <w:szCs w:val="22"/>
          <w:highlight w:val="yellow"/>
        </w:rPr>
        <w:t>el XX de XXXXX de 20XX con la</w:t>
      </w:r>
      <w:r>
        <w:rPr>
          <w:sz w:val="22"/>
          <w:szCs w:val="22"/>
          <w:highlight w:val="yellow"/>
        </w:rPr>
        <w:t xml:space="preserve"> catego</w:t>
      </w:r>
      <w:r>
        <w:rPr>
          <w:color w:val="auto"/>
          <w:sz w:val="22"/>
          <w:szCs w:val="22"/>
          <w:highlight w:val="yellow"/>
        </w:rPr>
        <w:t xml:space="preserve">ría de XXXXXXX </w:t>
      </w:r>
      <w:r>
        <w:rPr>
          <w:sz w:val="22"/>
          <w:szCs w:val="22"/>
        </w:rPr>
        <w:t xml:space="preserve">mediante </w:t>
      </w:r>
      <w:r>
        <w:rPr>
          <w:color w:val="auto"/>
          <w:sz w:val="22"/>
          <w:szCs w:val="22"/>
        </w:rPr>
        <w:t>nombramiento en calidad de funcionario interino</w:t>
      </w:r>
      <w:r>
        <w:rPr>
          <w:sz w:val="22"/>
          <w:szCs w:val="22"/>
        </w:rPr>
        <w:t xml:space="preserve"> por cobertura de vacante cubriendo con mis servicios necesidades estructurales de la Administración citada durante un periodo de tiempo continuado superior a los plazos máximos establecidos normativamente por estos tipos de nombramiento (artículos 10.4 y 70.1 TREBEP </w:t>
      </w:r>
      <w:r>
        <w:rPr>
          <w:sz w:val="22"/>
          <w:szCs w:val="22"/>
          <w:highlight w:val="yellow"/>
        </w:rPr>
        <w:t>y artículos 18 y 55 Ley 4/2021, de 16 de abril, de la Función Pública Valenciana).</w:t>
      </w:r>
    </w:p>
    <w:p w14:paraId="1C1F7A5E">
      <w:pPr>
        <w:pStyle w:val="12"/>
        <w:jc w:val="both"/>
        <w:rPr>
          <w:sz w:val="22"/>
          <w:szCs w:val="22"/>
        </w:rPr>
      </w:pPr>
    </w:p>
    <w:p w14:paraId="30672E34">
      <w:pPr>
        <w:pStyle w:val="12"/>
        <w:jc w:val="both"/>
        <w:rPr>
          <w:color w:val="auto"/>
          <w:sz w:val="22"/>
          <w:szCs w:val="22"/>
        </w:rPr>
      </w:pPr>
      <w:r>
        <w:rPr>
          <w:sz w:val="22"/>
          <w:szCs w:val="22"/>
        </w:rPr>
        <w:t xml:space="preserve">Durante todo este tiempo la Administración me ha dificultado cualquier expectativa de estabilidad en unos plazos razonables dado que no ha convocado la totalidad de plazas estructurales necesarias para el sostenimiento del servicio ni, por extensión, con la periodicidad requerida contraviniendo, de este modo, y establecido en los artículos 9.3 y 103.3 de la Constitución Española. </w:t>
      </w:r>
      <w:r>
        <w:rPr>
          <w:color w:val="auto"/>
          <w:sz w:val="22"/>
          <w:szCs w:val="22"/>
        </w:rPr>
        <w:t>en consonancia con los artículos 41 de la Carta de los Derechos Fundamentales de la Unión Europea.</w:t>
      </w:r>
    </w:p>
    <w:p w14:paraId="618B000A">
      <w:pPr>
        <w:pStyle w:val="12"/>
        <w:jc w:val="both"/>
        <w:rPr>
          <w:sz w:val="22"/>
          <w:szCs w:val="22"/>
        </w:rPr>
      </w:pPr>
    </w:p>
    <w:p w14:paraId="44201630">
      <w:pPr>
        <w:pStyle w:val="12"/>
        <w:jc w:val="both"/>
        <w:rPr>
          <w:sz w:val="22"/>
          <w:szCs w:val="22"/>
        </w:rPr>
      </w:pPr>
      <w:r>
        <w:rPr>
          <w:sz w:val="22"/>
          <w:szCs w:val="22"/>
        </w:rPr>
        <w:t>Por todo lo anterior la Administración me ha expuesto a una situación de indefinición laboral y de precariedad absolutamente intolerable que atenta contra mi dignidad personal (artículo 10.1 CE) y vulnera el derecho al trabajo y a la promoción profesional (artículo 35 CE).</w:t>
      </w:r>
    </w:p>
    <w:p w14:paraId="2E1480D1">
      <w:pPr>
        <w:pStyle w:val="12"/>
        <w:jc w:val="both"/>
        <w:rPr>
          <w:sz w:val="22"/>
          <w:szCs w:val="22"/>
        </w:rPr>
      </w:pPr>
    </w:p>
    <w:p w14:paraId="1C9FDAA2">
      <w:pPr>
        <w:pStyle w:val="12"/>
        <w:jc w:val="both"/>
        <w:rPr>
          <w:sz w:val="22"/>
          <w:szCs w:val="22"/>
        </w:rPr>
      </w:pPr>
    </w:p>
    <w:p w14:paraId="1F7F7E19">
      <w:pPr>
        <w:pStyle w:val="12"/>
        <w:jc w:val="center"/>
        <w:rPr>
          <w:sz w:val="22"/>
          <w:szCs w:val="22"/>
        </w:rPr>
      </w:pPr>
      <w:r>
        <w:rPr>
          <w:b/>
          <w:bCs/>
          <w:sz w:val="22"/>
          <w:szCs w:val="22"/>
        </w:rPr>
        <w:t>Relación temporal en fraude de ley y en abuso de derecho</w:t>
      </w:r>
    </w:p>
    <w:p w14:paraId="57080810">
      <w:pPr>
        <w:pStyle w:val="12"/>
        <w:jc w:val="both"/>
        <w:rPr>
          <w:sz w:val="22"/>
          <w:szCs w:val="22"/>
        </w:rPr>
      </w:pPr>
    </w:p>
    <w:p w14:paraId="0133D5CE">
      <w:pPr>
        <w:pStyle w:val="12"/>
        <w:jc w:val="both"/>
        <w:rPr>
          <w:sz w:val="22"/>
          <w:szCs w:val="22"/>
        </w:rPr>
      </w:pPr>
      <w:r>
        <w:rPr>
          <w:sz w:val="22"/>
          <w:szCs w:val="22"/>
        </w:rPr>
        <w:t xml:space="preserve">La Administración, en mi caso, ha utilizado fraudulentamente y contra </w:t>
      </w:r>
      <w:r>
        <w:rPr>
          <w:i/>
          <w:iCs/>
          <w:sz w:val="22"/>
          <w:szCs w:val="22"/>
        </w:rPr>
        <w:t>legem</w:t>
      </w:r>
      <w:r>
        <w:rPr>
          <w:sz w:val="22"/>
          <w:szCs w:val="22"/>
        </w:rPr>
        <w:t xml:space="preserve"> el régimen jurídico del funcionario interino, en la medida que me destina a cubrir necesidades que son de naturaleza estructurales y no provisionales. Es decir, durante todo este tiempo de prestación de servicios, he venido desarrollando de forma constante y continuada las funciones que ordinariamente están reservadas al personal fijo comparable.</w:t>
      </w:r>
    </w:p>
    <w:p w14:paraId="05BE1EF3">
      <w:pPr>
        <w:pStyle w:val="12"/>
        <w:jc w:val="both"/>
        <w:rPr>
          <w:sz w:val="22"/>
          <w:szCs w:val="22"/>
        </w:rPr>
      </w:pPr>
    </w:p>
    <w:p w14:paraId="31CCB235">
      <w:pPr>
        <w:pStyle w:val="12"/>
        <w:jc w:val="both"/>
        <w:rPr>
          <w:sz w:val="22"/>
          <w:szCs w:val="22"/>
        </w:rPr>
      </w:pPr>
      <w:r>
        <w:rPr>
          <w:sz w:val="22"/>
          <w:szCs w:val="22"/>
        </w:rPr>
        <w:t>Así pues, existe una utilización abusiva de la figura del personal interino de la que solamente se beneficia la propia Administración, puesto que mediante esta modalidad de prestación de servicios se priva al personal temporal de un mínimo de estabilidad laboral.</w:t>
      </w:r>
    </w:p>
    <w:p w14:paraId="3EF44835">
      <w:pPr>
        <w:pStyle w:val="12"/>
        <w:jc w:val="both"/>
        <w:rPr>
          <w:sz w:val="22"/>
          <w:szCs w:val="22"/>
        </w:rPr>
      </w:pPr>
    </w:p>
    <w:p w14:paraId="2A2EFD96">
      <w:pPr>
        <w:pStyle w:val="12"/>
        <w:jc w:val="both"/>
        <w:rPr>
          <w:sz w:val="22"/>
          <w:szCs w:val="22"/>
        </w:rPr>
      </w:pPr>
      <w:r>
        <w:rPr>
          <w:sz w:val="22"/>
          <w:szCs w:val="22"/>
        </w:rPr>
        <w:t>Por lo tanto, tenemos que afirmar que el abuso —fraude de ley— en la vinculación temporal que actualmente me une con la Administración se produce desde el momento en que se desnaturaliza la causa que justifica el nombramiento. Esta desnaturalización puede producirse desde el nacimiento o durante el transcurso de la relación. En conclusión, utilizar un marco jurídico (el del funcionario interino) para evitar la aplicación de otro (el del funcionario de carrera, en cuanto a inamovilidad y fijeza se refiere), en perjuicio exclusivo del trabajador/a, se traduce en un claro fraude de ley y abuso de derecho prohibido por los arts. 6.4 y 7.2 del Código Civil.</w:t>
      </w:r>
    </w:p>
    <w:p w14:paraId="5E3536C5">
      <w:pPr>
        <w:pStyle w:val="12"/>
        <w:jc w:val="both"/>
        <w:rPr>
          <w:sz w:val="22"/>
          <w:szCs w:val="22"/>
        </w:rPr>
      </w:pPr>
    </w:p>
    <w:p w14:paraId="1DFCE3EA">
      <w:pPr>
        <w:pStyle w:val="12"/>
        <w:jc w:val="both"/>
        <w:rPr>
          <w:sz w:val="22"/>
          <w:szCs w:val="22"/>
        </w:rPr>
      </w:pPr>
      <w:r>
        <w:rPr>
          <w:sz w:val="22"/>
          <w:szCs w:val="22"/>
        </w:rPr>
        <w:t>En este sentido, no existe justificación en mi nombramiento que permita advertir que es la necesidad auténtica que requiere ser cubierta, ni que es el objetivo que se persigue con el nombramiento temporal para evaluar el desempeño causal y, por último, tampoco si la vinculación temporal resulta indispensable. En definitiva, la Administración no es transparente a la hora de justificar los criterios objetivos para acudir al nombramiento temporal por cobertura de vacante, extremo que advierte el abuso de derecho y fraude de ley en mi vigente vinculación administrativa de interinaje por cobertura de vacante.</w:t>
      </w:r>
    </w:p>
    <w:p w14:paraId="27502A1D">
      <w:pPr>
        <w:pStyle w:val="12"/>
        <w:jc w:val="both"/>
        <w:rPr>
          <w:sz w:val="22"/>
          <w:szCs w:val="22"/>
        </w:rPr>
      </w:pPr>
    </w:p>
    <w:p w14:paraId="714C7349">
      <w:pPr>
        <w:pStyle w:val="12"/>
        <w:jc w:val="both"/>
        <w:rPr>
          <w:sz w:val="22"/>
          <w:szCs w:val="22"/>
        </w:rPr>
      </w:pPr>
      <w:r>
        <w:rPr>
          <w:sz w:val="22"/>
          <w:szCs w:val="22"/>
        </w:rPr>
        <w:t>Independientemente de esto, la situación descrita es fraudulenta según la duración inusualmente larga de la relación temporal que me une con la Administración. No es posible justificar ninguna urgencia y necesidad transitoria cuando llevo años cubriendo de forma permanente quehaceres habituales del personal fijo y cubriendo un déficit manifiesto de este.</w:t>
      </w:r>
    </w:p>
    <w:p w14:paraId="3AF6C463">
      <w:pPr>
        <w:pStyle w:val="12"/>
        <w:jc w:val="both"/>
        <w:rPr>
          <w:sz w:val="22"/>
          <w:szCs w:val="22"/>
        </w:rPr>
      </w:pPr>
    </w:p>
    <w:p w14:paraId="3593E17B">
      <w:pPr>
        <w:pStyle w:val="12"/>
        <w:jc w:val="both"/>
        <w:rPr>
          <w:sz w:val="22"/>
          <w:szCs w:val="22"/>
        </w:rPr>
      </w:pPr>
      <w:r>
        <w:rPr>
          <w:sz w:val="22"/>
          <w:szCs w:val="22"/>
        </w:rPr>
        <w:t>Ahora bien, la inexistencia de causa y la duración inusualmente larga de la relación fraudulenta que me une con esta Administración no son los únicos elementos para calificarla de abusiva. En esta Administración existe un ambiente propenso a abusar de los nombramientos temporales dado el índice de temporalidad en ésta.</w:t>
      </w:r>
    </w:p>
    <w:p w14:paraId="36A3D14B">
      <w:pPr>
        <w:pStyle w:val="12"/>
        <w:jc w:val="both"/>
        <w:rPr>
          <w:sz w:val="22"/>
          <w:szCs w:val="22"/>
        </w:rPr>
      </w:pPr>
    </w:p>
    <w:p w14:paraId="23926784">
      <w:pPr>
        <w:pStyle w:val="12"/>
        <w:jc w:val="both"/>
        <w:rPr>
          <w:sz w:val="22"/>
          <w:szCs w:val="22"/>
        </w:rPr>
      </w:pPr>
      <w:r>
        <w:rPr>
          <w:sz w:val="22"/>
          <w:szCs w:val="22"/>
        </w:rPr>
        <w:t>Además de esto, el incumplimiento flagrante de la obligación de convocar procesos selectivos para cubrir la totalidad de plazas vacantes denota una clara dejadez por parte de la Administración, que demuestra no tener ningún interés en acabar con la precariedad de sus empleados y poner fin a la temporalidad estructural de su plantilla incumpliendo los cimientos de actuación establecidos en 'artículo 1.3 apartados c), e), f) y g) del TREBEP.</w:t>
      </w:r>
    </w:p>
    <w:p w14:paraId="10DFF162">
      <w:pPr>
        <w:pStyle w:val="12"/>
        <w:jc w:val="both"/>
        <w:rPr>
          <w:color w:val="FF0000"/>
          <w:sz w:val="22"/>
          <w:szCs w:val="22"/>
        </w:rPr>
      </w:pPr>
    </w:p>
    <w:p w14:paraId="2FE1D78B">
      <w:pPr>
        <w:pStyle w:val="12"/>
        <w:jc w:val="both"/>
        <w:rPr>
          <w:color w:val="FF0000"/>
          <w:sz w:val="22"/>
          <w:szCs w:val="22"/>
        </w:rPr>
      </w:pPr>
      <w:r>
        <w:rPr>
          <w:sz w:val="22"/>
          <w:szCs w:val="22"/>
          <w:highlight w:val="yellow"/>
        </w:rPr>
        <w:t>(EXPONER SITUACIÓN DE LA PLAZA Y PRUEBAS SUPERADAS EN ESE CUERPO U OTROS DE LA ADMINISTRACIÓN QUE SE OCUPA)</w:t>
      </w:r>
    </w:p>
    <w:p w14:paraId="6734A534">
      <w:pPr>
        <w:pStyle w:val="12"/>
        <w:jc w:val="both"/>
        <w:rPr>
          <w:sz w:val="22"/>
          <w:szCs w:val="22"/>
        </w:rPr>
      </w:pPr>
    </w:p>
    <w:p w14:paraId="175DFC77">
      <w:pPr>
        <w:pStyle w:val="12"/>
        <w:jc w:val="both"/>
        <w:rPr>
          <w:sz w:val="22"/>
          <w:szCs w:val="22"/>
        </w:rPr>
      </w:pPr>
      <w:r>
        <w:rPr>
          <w:color w:val="auto"/>
          <w:sz w:val="22"/>
          <w:szCs w:val="22"/>
        </w:rPr>
        <w:t>También, se ha producido un incumplimiento de la Ley 20/2021, de 28 de diciembre, de medidas urgentes para la reducción de la temporalidad en el empleo público, y del Real Decreto-ley 5/2023, de 28 de junio, por el que se adoptan y prorrogan determinadas medidas de respuesta a las consecuencias económicas y sociales de la Guerra de Ucrania, de apoyo a la reconstrucción de la isla de La Palma y a otras situaciones de vulnerabilidad; de transposición de Directivas de la Unión Europea en materia de modificaciones estructurales de sociedades mercantiles y conciliación de la vida familiar y la vida profesional de los progenitores y los cuidadores; y de ejecución y cumplimiento del Derecho de la Unión Europea, que en su artículo 217 autorizaba una tasa adicional a las Administraciones Públicas para que convoquen procesos selectivos conforme a la disposición adicional octava de la Ley 20/2021, de 28 de diciembre de la que la Generalitat Valenciana, pese a no cumplir el objetivo de estabilidad con los procesos en trámite decidió hacer caso omiso.</w:t>
      </w:r>
    </w:p>
    <w:p w14:paraId="261F403A">
      <w:pPr>
        <w:pStyle w:val="12"/>
        <w:jc w:val="both"/>
        <w:rPr>
          <w:sz w:val="22"/>
          <w:szCs w:val="22"/>
        </w:rPr>
      </w:pPr>
    </w:p>
    <w:p w14:paraId="0BB1DA1E">
      <w:pPr>
        <w:pStyle w:val="12"/>
        <w:jc w:val="both"/>
        <w:rPr>
          <w:color w:val="auto"/>
          <w:sz w:val="22"/>
          <w:szCs w:val="22"/>
        </w:rPr>
      </w:pPr>
      <w:r>
        <w:rPr>
          <w:sz w:val="22"/>
          <w:szCs w:val="22"/>
        </w:rPr>
        <w:t xml:space="preserve">Además de ello, la STJUE de 22 de febrero de 2024 - asuntos acumulados C-59/22, C-110/22 Y C-159/22 establece que la cláusula 5 del Acuerdo Marco sobre el trabajo de duración determinada, celebrado el 18 de marzo de 1999, que figura en el anexo de la Directiva 1999/70, debe interpretarse en el sentido de que se opone a una normativa nacional que establece la convocatoria de procesos de consolidación del empleo temporal mediante convocatorias públicas para la cobertura </w:t>
      </w:r>
      <w:r>
        <w:rPr>
          <w:color w:val="auto"/>
          <w:sz w:val="22"/>
          <w:szCs w:val="22"/>
        </w:rPr>
        <w:t>de las plazas ocupadas por trabajadores temporales, entre ellos los trabajadores indefinidos no fijos, cuando dicha convocatoria es independiente de cualquier consideración relativa al carácter abusivo de la utilización de tales contratos de duración determinada.</w:t>
      </w:r>
    </w:p>
    <w:p w14:paraId="2D46D819">
      <w:pPr>
        <w:pStyle w:val="12"/>
        <w:jc w:val="both"/>
        <w:rPr>
          <w:color w:val="auto"/>
          <w:sz w:val="22"/>
          <w:szCs w:val="22"/>
        </w:rPr>
      </w:pPr>
    </w:p>
    <w:p w14:paraId="629A6360">
      <w:pPr>
        <w:pStyle w:val="12"/>
        <w:jc w:val="both"/>
        <w:rPr>
          <w:color w:val="auto"/>
          <w:sz w:val="22"/>
          <w:szCs w:val="22"/>
        </w:rPr>
      </w:pPr>
      <w:r>
        <w:rPr>
          <w:color w:val="auto"/>
          <w:sz w:val="22"/>
          <w:szCs w:val="22"/>
        </w:rPr>
        <w:t xml:space="preserve">La </w:t>
      </w:r>
      <w:r>
        <w:rPr>
          <w:b/>
          <w:bCs/>
          <w:color w:val="auto"/>
          <w:sz w:val="22"/>
          <w:szCs w:val="22"/>
        </w:rPr>
        <w:t>STJUE de 13 de junio de 2024</w:t>
      </w:r>
      <w:r>
        <w:rPr>
          <w:color w:val="auto"/>
          <w:sz w:val="22"/>
          <w:szCs w:val="22"/>
        </w:rPr>
        <w:t xml:space="preserve"> declara que el incumplimiento de los plazos para convocar los procesos selectivos determina la existencia de un abuso incompatible con la Directiva, por cuanto que revela que el personal temporal cubre necesidades que no son provisionales, sino permanentes y estables.</w:t>
      </w:r>
      <w:bookmarkStart w:id="1" w:name="_Hlk169176745"/>
      <w:bookmarkEnd w:id="1"/>
    </w:p>
    <w:p w14:paraId="76374E9B">
      <w:pPr>
        <w:pStyle w:val="12"/>
        <w:jc w:val="both"/>
        <w:rPr>
          <w:sz w:val="22"/>
          <w:szCs w:val="22"/>
        </w:rPr>
      </w:pPr>
    </w:p>
    <w:p w14:paraId="1C58B5D8">
      <w:pPr>
        <w:pStyle w:val="12"/>
        <w:jc w:val="both"/>
        <w:rPr>
          <w:sz w:val="22"/>
          <w:szCs w:val="22"/>
        </w:rPr>
      </w:pPr>
      <w:r>
        <w:rPr>
          <w:sz w:val="22"/>
          <w:szCs w:val="22"/>
        </w:rPr>
        <w:t>En resumen, queda claro que la Administración, bajo el abrigo formal de una relación de interinidad, sigue en mi caso destinando mi trabajo a satisfacer necesidades ordinarias, estructurales y, en definitiva, permanentes. Esta situación vulnera, de forma flagrante, la normativa nacional en materia de función pública y, como argumentaremos más adelante, también la normativa europea que regula el trabajo de duración determinada.</w:t>
      </w:r>
    </w:p>
    <w:p w14:paraId="4A398120">
      <w:pPr>
        <w:pStyle w:val="12"/>
        <w:jc w:val="both"/>
        <w:rPr>
          <w:sz w:val="22"/>
          <w:szCs w:val="22"/>
        </w:rPr>
      </w:pPr>
    </w:p>
    <w:p w14:paraId="229B9B13">
      <w:pPr>
        <w:pStyle w:val="12"/>
        <w:jc w:val="both"/>
        <w:rPr>
          <w:sz w:val="22"/>
          <w:szCs w:val="22"/>
        </w:rPr>
      </w:pPr>
      <w:r>
        <w:rPr>
          <w:sz w:val="22"/>
          <w:szCs w:val="22"/>
        </w:rPr>
        <w:t xml:space="preserve">En relación con esto, la más reciente jurisprudencia del Tribunal Supremo establece que el abuso de temporalidad existe en el momento que la Administración Pública utiliza injustificadamente el régimen jurídico de la ocupación temporal vide </w:t>
      </w:r>
      <w:r>
        <w:rPr>
          <w:b/>
          <w:bCs/>
          <w:sz w:val="22"/>
          <w:szCs w:val="22"/>
        </w:rPr>
        <w:t>STS 1534/2021, de 20 de diciembre</w:t>
      </w:r>
      <w:r>
        <w:rPr>
          <w:sz w:val="22"/>
          <w:szCs w:val="22"/>
        </w:rPr>
        <w:t xml:space="preserve"> (nº recurso 2489/2019).</w:t>
      </w:r>
    </w:p>
    <w:p w14:paraId="2726BCD6">
      <w:pPr>
        <w:pStyle w:val="12"/>
        <w:jc w:val="both"/>
        <w:rPr>
          <w:sz w:val="22"/>
          <w:szCs w:val="22"/>
        </w:rPr>
      </w:pPr>
    </w:p>
    <w:p w14:paraId="6AA1B539">
      <w:pPr>
        <w:pStyle w:val="12"/>
        <w:jc w:val="both"/>
        <w:rPr>
          <w:sz w:val="22"/>
          <w:szCs w:val="22"/>
        </w:rPr>
      </w:pPr>
    </w:p>
    <w:p w14:paraId="2FE40CBD">
      <w:pPr>
        <w:pStyle w:val="12"/>
        <w:jc w:val="center"/>
        <w:rPr>
          <w:sz w:val="22"/>
          <w:szCs w:val="22"/>
        </w:rPr>
      </w:pPr>
      <w:r>
        <w:rPr>
          <w:b/>
          <w:bCs/>
          <w:sz w:val="22"/>
          <w:szCs w:val="22"/>
        </w:rPr>
        <w:t>Rechazo al argumento de que no hay abuso porque el empleado</w:t>
      </w:r>
    </w:p>
    <w:p w14:paraId="666A7308">
      <w:pPr>
        <w:pStyle w:val="12"/>
        <w:jc w:val="center"/>
        <w:rPr>
          <w:sz w:val="22"/>
          <w:szCs w:val="22"/>
        </w:rPr>
      </w:pPr>
      <w:r>
        <w:rPr>
          <w:b/>
          <w:bCs/>
          <w:sz w:val="22"/>
          <w:szCs w:val="22"/>
        </w:rPr>
        <w:t>temporal es participe del abuso, al consentirlo</w:t>
      </w:r>
    </w:p>
    <w:p w14:paraId="57807F8A">
      <w:pPr>
        <w:pStyle w:val="12"/>
        <w:jc w:val="both"/>
        <w:rPr>
          <w:sz w:val="22"/>
          <w:szCs w:val="22"/>
        </w:rPr>
      </w:pPr>
    </w:p>
    <w:p w14:paraId="3C79139F">
      <w:pPr>
        <w:pStyle w:val="12"/>
        <w:jc w:val="both"/>
        <w:rPr>
          <w:sz w:val="22"/>
          <w:szCs w:val="22"/>
        </w:rPr>
      </w:pPr>
    </w:p>
    <w:p w14:paraId="49B28059">
      <w:pPr>
        <w:pStyle w:val="12"/>
        <w:jc w:val="both"/>
        <w:rPr>
          <w:sz w:val="22"/>
          <w:szCs w:val="22"/>
        </w:rPr>
      </w:pPr>
      <w:r>
        <w:rPr>
          <w:sz w:val="22"/>
          <w:szCs w:val="22"/>
        </w:rPr>
        <w:t>El TJUE en su sentencia del 19 de marzo de 2020, asunto C-103/18, deja claro quién es el responsable del abuso y a quién hay que sancionar – a la Administración empleadora- y a quien hay compensar como víctima del abuso -al empleado o trabajador-.</w:t>
      </w:r>
    </w:p>
    <w:p w14:paraId="2960FF55">
      <w:pPr>
        <w:pStyle w:val="12"/>
        <w:jc w:val="both"/>
        <w:rPr>
          <w:sz w:val="22"/>
          <w:szCs w:val="22"/>
        </w:rPr>
      </w:pPr>
    </w:p>
    <w:p w14:paraId="657BC0C9">
      <w:pPr>
        <w:pStyle w:val="12"/>
        <w:jc w:val="both"/>
        <w:rPr>
          <w:sz w:val="22"/>
          <w:szCs w:val="22"/>
        </w:rPr>
      </w:pPr>
      <w:r>
        <w:rPr>
          <w:sz w:val="22"/>
          <w:szCs w:val="22"/>
        </w:rPr>
        <w:t>De la misma manera, esta sentencia deja claro que no hay excusas, y que no puede responsabilizarse a la víctima del abuso, esto es, a los empleados y trabajadores públicos, del comportamiento fraudulento e ilegal del empleador, ni acudirse a socorrido argumento de que el funcionario, se ha beneficiado de este abuso y de este fraude, y lo ha consentido.</w:t>
      </w:r>
    </w:p>
    <w:p w14:paraId="2AD65AB2">
      <w:pPr>
        <w:pStyle w:val="12"/>
        <w:jc w:val="both"/>
        <w:rPr>
          <w:sz w:val="22"/>
          <w:szCs w:val="22"/>
        </w:rPr>
      </w:pPr>
    </w:p>
    <w:p w14:paraId="3CE50BBE">
      <w:pPr>
        <w:pStyle w:val="12"/>
        <w:jc w:val="both"/>
        <w:rPr>
          <w:sz w:val="22"/>
          <w:szCs w:val="22"/>
        </w:rPr>
      </w:pPr>
      <w:r>
        <w:rPr>
          <w:sz w:val="22"/>
          <w:szCs w:val="22"/>
        </w:rPr>
        <w:t>La cuestión es resuelta definitivamente por la STJUE del 19 de marzo de 2020 en sus</w:t>
      </w:r>
    </w:p>
    <w:p w14:paraId="06222CF9">
      <w:pPr>
        <w:pStyle w:val="12"/>
        <w:jc w:val="both"/>
        <w:rPr>
          <w:sz w:val="22"/>
          <w:szCs w:val="22"/>
        </w:rPr>
      </w:pPr>
      <w:r>
        <w:rPr>
          <w:sz w:val="22"/>
          <w:szCs w:val="22"/>
        </w:rPr>
        <w:t>apartados 110 y ss, en los que el alto tribunal europea expone:</w:t>
      </w:r>
    </w:p>
    <w:p w14:paraId="2AF5DB7E">
      <w:pPr>
        <w:pStyle w:val="12"/>
        <w:jc w:val="both"/>
        <w:rPr>
          <w:sz w:val="22"/>
          <w:szCs w:val="22"/>
        </w:rPr>
      </w:pPr>
    </w:p>
    <w:p w14:paraId="446C8956">
      <w:pPr>
        <w:pStyle w:val="12"/>
        <w:jc w:val="both"/>
        <w:rPr>
          <w:sz w:val="22"/>
          <w:szCs w:val="22"/>
        </w:rPr>
      </w:pPr>
      <w:r>
        <w:rPr>
          <w:i/>
          <w:iCs/>
          <w:sz w:val="22"/>
          <w:szCs w:val="22"/>
        </w:rPr>
        <w:t>112 Este objetivo del Acuerdo Marco se basa implícita pero necesariamente en la premisa de que el trabajador, debido a su posición de debilidad respecto del empleador, puede ser víctima de una utilización abusiva, por parte de este, de relaciones laborales de duración determinada sucesivas, aun cuando el establecimiento y la renovación de esas relaciones laborales se hayan consentido libremente.</w:t>
      </w:r>
    </w:p>
    <w:p w14:paraId="4388DFC6">
      <w:pPr>
        <w:pStyle w:val="12"/>
        <w:jc w:val="both"/>
        <w:rPr>
          <w:sz w:val="22"/>
          <w:szCs w:val="22"/>
        </w:rPr>
      </w:pPr>
    </w:p>
    <w:p w14:paraId="21C7EC55">
      <w:pPr>
        <w:pStyle w:val="12"/>
        <w:jc w:val="both"/>
        <w:rPr>
          <w:sz w:val="22"/>
          <w:szCs w:val="22"/>
        </w:rPr>
      </w:pPr>
      <w:r>
        <w:rPr>
          <w:i/>
          <w:iCs/>
          <w:sz w:val="22"/>
          <w:szCs w:val="22"/>
        </w:rPr>
        <w:t>113 En efecto, esta situación de debilidad podría disuadir al trabajador de hacer valer expresamente sus derechos frente al empresario, en particular cuando la reivindicación de estos pudiera provocar que quedara expuesto a medidas adoptadas por el empresario que redundasen en perjuicio de las condiciones de trabajo del trabajador (véase, en este sentido, la sentencia de 14 de mayo de 2019, CCOO, C-55/18, EU:C:2019:402, apartados 44 y 45 y jurisprudencia citada).</w:t>
      </w:r>
    </w:p>
    <w:p w14:paraId="1E0F0191">
      <w:pPr>
        <w:pStyle w:val="12"/>
        <w:jc w:val="both"/>
        <w:rPr>
          <w:sz w:val="22"/>
          <w:szCs w:val="22"/>
        </w:rPr>
      </w:pPr>
    </w:p>
    <w:p w14:paraId="5A1FC136">
      <w:pPr>
        <w:pStyle w:val="12"/>
        <w:jc w:val="both"/>
        <w:rPr>
          <w:sz w:val="22"/>
          <w:szCs w:val="22"/>
        </w:rPr>
      </w:pPr>
      <w:r>
        <w:rPr>
          <w:i/>
          <w:iCs/>
          <w:sz w:val="22"/>
          <w:szCs w:val="22"/>
        </w:rPr>
        <w:t>114 Por consiguiente, so pena de privar completamente de todo efecto útil a la cláusula 5 del Acuerdo Marco, no puede considerarse que los trabajadores con contrato de duración determinada quedan privados de la protección que el Acuerdo les otorga por el mero hecho de que hayan consentido libremente la celebración de sucesivos contratos de trabajo de duración determinada.</w:t>
      </w:r>
    </w:p>
    <w:p w14:paraId="7BA8A71F">
      <w:pPr>
        <w:pStyle w:val="12"/>
        <w:jc w:val="both"/>
        <w:rPr>
          <w:sz w:val="22"/>
          <w:szCs w:val="22"/>
        </w:rPr>
      </w:pPr>
    </w:p>
    <w:p w14:paraId="02AF8802">
      <w:pPr>
        <w:pStyle w:val="12"/>
        <w:jc w:val="both"/>
        <w:rPr>
          <w:sz w:val="22"/>
          <w:szCs w:val="22"/>
        </w:rPr>
      </w:pPr>
    </w:p>
    <w:p w14:paraId="4451C40F">
      <w:pPr>
        <w:pStyle w:val="12"/>
        <w:jc w:val="both"/>
        <w:rPr>
          <w:sz w:val="22"/>
          <w:szCs w:val="22"/>
        </w:rPr>
      </w:pPr>
    </w:p>
    <w:p w14:paraId="234E3584">
      <w:pPr>
        <w:pStyle w:val="12"/>
        <w:jc w:val="both"/>
        <w:rPr>
          <w:sz w:val="22"/>
          <w:szCs w:val="22"/>
        </w:rPr>
      </w:pPr>
    </w:p>
    <w:p w14:paraId="085849BC">
      <w:pPr>
        <w:pStyle w:val="12"/>
        <w:jc w:val="center"/>
        <w:rPr>
          <w:sz w:val="22"/>
          <w:szCs w:val="22"/>
        </w:rPr>
      </w:pPr>
      <w:r>
        <w:rPr>
          <w:b/>
          <w:bCs/>
          <w:sz w:val="22"/>
          <w:szCs w:val="22"/>
        </w:rPr>
        <w:t>Normas jurídicas aplicables</w:t>
      </w:r>
    </w:p>
    <w:p w14:paraId="11E1E13D">
      <w:pPr>
        <w:pStyle w:val="12"/>
        <w:jc w:val="both"/>
        <w:rPr>
          <w:sz w:val="22"/>
          <w:szCs w:val="22"/>
        </w:rPr>
      </w:pPr>
    </w:p>
    <w:p w14:paraId="17F73E46">
      <w:pPr>
        <w:pStyle w:val="12"/>
        <w:jc w:val="both"/>
        <w:rPr>
          <w:sz w:val="22"/>
          <w:szCs w:val="22"/>
        </w:rPr>
      </w:pPr>
      <w:r>
        <w:rPr>
          <w:sz w:val="22"/>
          <w:szCs w:val="22"/>
        </w:rPr>
        <w:t xml:space="preserve">La presente reclamación se fundamenta, principalmente, en la Directiva 1999/70/CE del Consejo de 28 de junio de 1999, relativa al Acuerdo marco de la CES, la UNICE y el CEEP sobre el trabajo de duración determinada. En relación con esta norma comunitaria, no se controvertido lo hecho que el Acuerdo marco anexo a la Directiva 1999/70/CE es aplicable a la ocupación pública y a las relacionas que se rigen por el derecho administrativo y así lo reconoce la </w:t>
      </w:r>
      <w:r>
        <w:rPr>
          <w:b/>
          <w:bCs/>
          <w:sz w:val="22"/>
          <w:szCs w:val="22"/>
        </w:rPr>
        <w:t>STS 1401/2021, de 30 de noviembre</w:t>
      </w:r>
      <w:r>
        <w:rPr>
          <w:sz w:val="22"/>
          <w:szCs w:val="22"/>
        </w:rPr>
        <w:t xml:space="preserve"> (n.º recurso 6302/2018) al fundamento de derecho quinto: "</w:t>
      </w:r>
      <w:r>
        <w:rPr>
          <w:i/>
          <w:iCs/>
          <w:sz w:val="22"/>
          <w:szCs w:val="22"/>
        </w:rPr>
        <w:t xml:space="preserve">(...), ninguna de las partes discute que el Acuerdo Marco que, en principio, aplicable al empleo público, tanto de naturaleza laboral como de naturaleza estatutaria. Ello se absolutamente claro a la luz de la jurisprudencia del Tribunal de Justicia de la Union Europea </w:t>
      </w:r>
      <w:r>
        <w:rPr>
          <w:sz w:val="22"/>
          <w:szCs w:val="22"/>
        </w:rPr>
        <w:t>"[</w:t>
      </w:r>
      <w:r>
        <w:rPr>
          <w:b/>
          <w:bCs/>
          <w:sz w:val="22"/>
          <w:szCs w:val="22"/>
        </w:rPr>
        <w:t>STJUE de 25 de octubre de 2018</w:t>
      </w:r>
      <w:r>
        <w:rPr>
          <w:sz w:val="22"/>
          <w:szCs w:val="22"/>
        </w:rPr>
        <w:t xml:space="preserve">, asunto C-331/17 (SCIOTTO), apartado 43]. </w:t>
      </w:r>
      <w:bookmarkStart w:id="2" w:name="_Hlk169175639"/>
      <w:r>
        <w:rPr>
          <w:sz w:val="22"/>
          <w:szCs w:val="22"/>
        </w:rPr>
        <w:t>Se ha de tener en cuenta también lo establecido en</w:t>
      </w:r>
      <w:r>
        <w:t xml:space="preserve"> </w:t>
      </w:r>
      <w:r>
        <w:rPr>
          <w:b/>
          <w:bCs/>
          <w:sz w:val="22"/>
          <w:szCs w:val="22"/>
        </w:rPr>
        <w:t>la STJUE de 13 de junio de 2024</w:t>
      </w:r>
      <w:r>
        <w:rPr>
          <w:sz w:val="22"/>
          <w:szCs w:val="22"/>
        </w:rPr>
        <w:t>.</w:t>
      </w:r>
      <w:bookmarkEnd w:id="2"/>
    </w:p>
    <w:p w14:paraId="1CC40341">
      <w:pPr>
        <w:pStyle w:val="12"/>
        <w:jc w:val="both"/>
        <w:rPr>
          <w:sz w:val="22"/>
          <w:szCs w:val="22"/>
        </w:rPr>
      </w:pPr>
    </w:p>
    <w:p w14:paraId="77AB11F2">
      <w:pPr>
        <w:pStyle w:val="12"/>
        <w:jc w:val="both"/>
        <w:rPr>
          <w:sz w:val="22"/>
          <w:szCs w:val="22"/>
        </w:rPr>
      </w:pPr>
      <w:r>
        <w:rPr>
          <w:sz w:val="22"/>
          <w:szCs w:val="22"/>
        </w:rPr>
        <w:t>Como se conoce, la Directiva 1999/70/CE, de 28 de junio de 1999, fue la norma utilizada para incluir en el ordenamiento jurídico de la Unión "El Acuerdo marco de la CES, UNICE y CEEP sobre el trabajo de duración determinada, de 18 de marzo de 1999", con el objetivo de mejorar la calidad del trabajo temporal desincentivando la suya utilización contractual sistemática al mercado del trabajo y disminuir la precariedad que este tipo de relacionas tienen asociadas. Para lograr estos objetivos, los Estados miembros tienen que adaptar su ordenamiento jurídico interno, garantizando, por un lado, el principio de no discriminación entre el personal temporal y el indefinido comparable (Cláusula 4 del Acuerdo anexo) y, por el otro, estableciendo una serie de medidas destinadas a evitar la utilización de contratos o relaciones de trabajo de duración determinada y a sancionar a los infractores mediante el establecimiento de medidas efectivas, disuasivas y proporcionales que permitan proteger íntegramente a los empleados y penalicen de forma completa a los empleadores cuando estos no respeten los límites y la naturaleza de estas relaciones (Cláusula 5 del Acuerdo anexo). Así pues, la Directiva 1999/70/CE, como norma de derecho derivado del ordenamiento jurídico de la Unión Europea, impone a los Estados miembros una obligación de resultado, dejando a estos la facultad de escoger la forma y los medios para lograrlo (artículo 288 TFUE).</w:t>
      </w:r>
    </w:p>
    <w:p w14:paraId="50F76DDE">
      <w:pPr>
        <w:pStyle w:val="12"/>
        <w:jc w:val="center"/>
        <w:rPr>
          <w:sz w:val="22"/>
          <w:szCs w:val="22"/>
        </w:rPr>
      </w:pPr>
    </w:p>
    <w:p w14:paraId="7179C449">
      <w:pPr>
        <w:pStyle w:val="12"/>
        <w:jc w:val="both"/>
        <w:rPr>
          <w:sz w:val="22"/>
          <w:szCs w:val="22"/>
        </w:rPr>
      </w:pPr>
      <w:r>
        <w:rPr>
          <w:sz w:val="22"/>
          <w:szCs w:val="22"/>
        </w:rPr>
        <w:t>Las soluciones que se propondrán en esta solicitud pasan por la aplicación hermenéutica de esta Directiva, atendida su deficiente transposición al ordenamiento jurídico interno, en consonancia con los principios de supremacía e interpretación conforme que el Derecho Comunitario y la jurisprudencia del Tribunal de Luxemburgo le conceden ante las disposiciones normativas internas del Estado miembro [por todas vide STJUE, de 5 de febrero de 1963, asunto 26/62 (VAN GEND EN LOOS); STJUE, de 4 de diciembre de 1974, asunto 41/74 (VAN DUYN); STJUE, de 5 de abril de 1979, asunto 148/78 (RATTI); STJUE, de 15 de julio de 1964, asunto 6/64 (COST C. ENEL) y STJUE, de 26 de febrero, asunto C- 399/11 (STEFANO MELLONI)].</w:t>
      </w:r>
    </w:p>
    <w:p w14:paraId="2ABAC1F7">
      <w:pPr>
        <w:pStyle w:val="12"/>
        <w:jc w:val="both"/>
        <w:rPr>
          <w:sz w:val="22"/>
          <w:szCs w:val="22"/>
        </w:rPr>
      </w:pPr>
    </w:p>
    <w:p w14:paraId="4C8D5A5C">
      <w:pPr>
        <w:pStyle w:val="12"/>
        <w:jc w:val="both"/>
        <w:rPr>
          <w:sz w:val="22"/>
          <w:szCs w:val="22"/>
        </w:rPr>
      </w:pPr>
      <w:r>
        <w:rPr>
          <w:sz w:val="22"/>
          <w:szCs w:val="22"/>
        </w:rPr>
        <w:t>La Directiva 1999/70/CE persigue la estabilidad laboral, siendo contraria toda conducta que injustificadamente contradiga este objetivo. Así pues, la utilización de la contratación temporal, como fuente principal de precariedad al mercado laboral, tiene que estar limitada por las razones objetivas legalmente establecidas. En este sentido, es inadmisible por el derecho comunitario la utilización sistemática y el encadenamiento sucesivo de relaciones temporales para cubrir de forma permanente y estable necesidades ordinarias en materia de personal de las Administraciones públicas [STJUE de 26 de noviembre de 2014, asuntos acumulados C-22/13, C-61/13 a C-63/13 y C-418/13 (MASCOLO), apartados 99 y 100; STJUE de 14 de septiembre de 2016, asunto C-16/15 (PEREZ LOPEZ), apartado 47; STJUE de 25 de octubre de 2018, asunto C-331/17 (SCIOTTO), apartado 50; y STJUE de 19 de marzo de 2020, asuntos acumulados C-103/18 y C- 429/18 (SANCHEZ RUIZ), apartado 77] y STJUE de 22 de febrero de 2024 - asuntos acumulados C-59/22, C-110/22 Y C-159/22.</w:t>
      </w:r>
    </w:p>
    <w:p w14:paraId="7089C39E">
      <w:pPr>
        <w:pStyle w:val="12"/>
        <w:jc w:val="both"/>
        <w:rPr>
          <w:sz w:val="22"/>
          <w:szCs w:val="22"/>
        </w:rPr>
      </w:pPr>
    </w:p>
    <w:p w14:paraId="5956E6EF">
      <w:pPr>
        <w:pStyle w:val="12"/>
        <w:jc w:val="both"/>
        <w:rPr>
          <w:sz w:val="22"/>
          <w:szCs w:val="22"/>
        </w:rPr>
      </w:pPr>
      <w:r>
        <w:rPr>
          <w:sz w:val="22"/>
          <w:szCs w:val="22"/>
        </w:rPr>
        <w:t>Además, se ha de tener en cuenta todo lo establecido en la</w:t>
      </w:r>
      <w:r>
        <w:t xml:space="preserve"> reciente </w:t>
      </w:r>
      <w:r>
        <w:rPr>
          <w:b/>
          <w:bCs/>
          <w:color w:val="auto"/>
          <w:sz w:val="22"/>
          <w:szCs w:val="22"/>
        </w:rPr>
        <w:t>STJUE de 13 de junio de 2024</w:t>
      </w:r>
      <w:r>
        <w:rPr>
          <w:sz w:val="22"/>
          <w:szCs w:val="22"/>
        </w:rPr>
        <w:t xml:space="preserve"> que </w:t>
      </w:r>
      <w:r>
        <w:rPr>
          <w:b/>
          <w:bCs/>
          <w:sz w:val="22"/>
          <w:szCs w:val="22"/>
        </w:rPr>
        <w:t>obliga a la transformación en fijos del personal temporal del sector público víctima de un abuso</w:t>
      </w:r>
      <w:r>
        <w:rPr>
          <w:sz w:val="22"/>
          <w:szCs w:val="22"/>
        </w:rPr>
        <w:t>, y declara que ni la jurisprudencia del Tribunal Supremo, ni los procesos de estabilización de la Ley 20/2021 cumplen con los requisitos de la Directiva 1999/70. La sentencia declara que, ante la inexistencia de medidas sancionadoras para garantizar el cumplimiento de la Directiva 1999/70, en nuestro país, sólo cabe la transformación en fijo del personal temporal víctima de un abuso. Y si esta transformación fuera contraria a las normas nacionales, en base al principio de interpretación conforme, apunta como solución sujetar al personal temporal víctima de un abuso a las mismas causas de cese y despido que las que rigen para los funcionarios de carrera, aunque sin adquirir esta condición de funcionario de carrera.</w:t>
      </w:r>
      <w:bookmarkStart w:id="3" w:name="_Hlk169176921"/>
      <w:bookmarkEnd w:id="3"/>
    </w:p>
    <w:p w14:paraId="631DF25E">
      <w:pPr>
        <w:pStyle w:val="12"/>
        <w:jc w:val="both"/>
        <w:rPr>
          <w:sz w:val="22"/>
          <w:szCs w:val="22"/>
        </w:rPr>
      </w:pPr>
    </w:p>
    <w:p w14:paraId="441C4BCC">
      <w:pPr>
        <w:pStyle w:val="12"/>
        <w:jc w:val="both"/>
        <w:rPr>
          <w:sz w:val="22"/>
          <w:szCs w:val="22"/>
        </w:rPr>
      </w:pPr>
      <w:r>
        <w:rPr>
          <w:sz w:val="22"/>
          <w:szCs w:val="22"/>
        </w:rPr>
        <w:t>Por tanto, la sentencia opta por la estabilización de este personal como única medida posible para sancionar a las administraciones empleadoras que abusan de sus empleados públicos temporales/interinos.</w:t>
      </w:r>
    </w:p>
    <w:p w14:paraId="21A1958F">
      <w:pPr>
        <w:pStyle w:val="12"/>
        <w:jc w:val="both"/>
        <w:rPr>
          <w:sz w:val="22"/>
          <w:szCs w:val="22"/>
        </w:rPr>
      </w:pPr>
    </w:p>
    <w:p w14:paraId="40F152B6">
      <w:pPr>
        <w:pStyle w:val="12"/>
        <w:jc w:val="both"/>
        <w:rPr>
          <w:sz w:val="22"/>
          <w:szCs w:val="22"/>
        </w:rPr>
      </w:pPr>
      <w:r>
        <w:rPr>
          <w:sz w:val="22"/>
          <w:szCs w:val="22"/>
        </w:rPr>
        <w:t>La sentencia igualmente declara que el incumplimiento de los plazos para convocar los procesos selectivos determina la existencia de un abuso incompatible con la Directiva, por cuanto que revela que el personal temporal cubre necesidades que no son provisionales, sino permanentes y estables.</w:t>
      </w:r>
      <w:bookmarkStart w:id="4" w:name="_Hlk169176688"/>
      <w:bookmarkEnd w:id="4"/>
      <w:bookmarkStart w:id="5" w:name="_Hlk169175672"/>
      <w:bookmarkEnd w:id="5"/>
    </w:p>
    <w:p w14:paraId="7160F3CF">
      <w:pPr>
        <w:pStyle w:val="12"/>
        <w:jc w:val="both"/>
        <w:rPr>
          <w:sz w:val="22"/>
          <w:szCs w:val="22"/>
        </w:rPr>
      </w:pPr>
    </w:p>
    <w:p w14:paraId="56CD0778">
      <w:pPr>
        <w:pStyle w:val="12"/>
        <w:jc w:val="both"/>
        <w:rPr>
          <w:sz w:val="22"/>
          <w:szCs w:val="22"/>
        </w:rPr>
      </w:pPr>
    </w:p>
    <w:p w14:paraId="06C44B5C">
      <w:pPr>
        <w:pStyle w:val="12"/>
        <w:jc w:val="center"/>
        <w:rPr>
          <w:sz w:val="22"/>
          <w:szCs w:val="22"/>
        </w:rPr>
      </w:pPr>
    </w:p>
    <w:p w14:paraId="54E60BA5">
      <w:pPr>
        <w:pStyle w:val="12"/>
        <w:jc w:val="center"/>
        <w:rPr>
          <w:sz w:val="22"/>
          <w:szCs w:val="22"/>
        </w:rPr>
      </w:pPr>
      <w:r>
        <w:rPr>
          <w:b/>
          <w:bCs/>
          <w:sz w:val="22"/>
          <w:szCs w:val="22"/>
        </w:rPr>
        <w:t>Requisitos para declarar el abuso de una relación de duración determinada</w:t>
      </w:r>
    </w:p>
    <w:p w14:paraId="3D44F607">
      <w:pPr>
        <w:pStyle w:val="12"/>
        <w:jc w:val="center"/>
        <w:rPr>
          <w:sz w:val="22"/>
          <w:szCs w:val="22"/>
        </w:rPr>
      </w:pPr>
    </w:p>
    <w:p w14:paraId="0699D76E">
      <w:pPr>
        <w:pStyle w:val="12"/>
        <w:jc w:val="both"/>
        <w:rPr>
          <w:sz w:val="22"/>
          <w:szCs w:val="22"/>
        </w:rPr>
      </w:pPr>
      <w:r>
        <w:rPr>
          <w:sz w:val="22"/>
          <w:szCs w:val="22"/>
        </w:rPr>
        <w:t xml:space="preserve">Para fijar en qué momento se puede considerar la existencia de abuso en una relación de duración determinada (temporal), orientativamente se establecen a la </w:t>
      </w:r>
      <w:r>
        <w:rPr>
          <w:b/>
          <w:bCs/>
          <w:sz w:val="22"/>
          <w:szCs w:val="22"/>
        </w:rPr>
        <w:t>STJUE de 19 de marzo de 2020</w:t>
      </w:r>
      <w:r>
        <w:rPr>
          <w:sz w:val="22"/>
          <w:szCs w:val="22"/>
        </w:rPr>
        <w:t>, asuntos acumulados C-103/18 y C-429/18 (SANCHEZ RUIZ), apartado 79, como indicadores a valorar en cada caso los siguientes:</w:t>
      </w:r>
    </w:p>
    <w:p w14:paraId="71D42516">
      <w:pPr>
        <w:pStyle w:val="12"/>
        <w:jc w:val="both"/>
        <w:rPr>
          <w:sz w:val="22"/>
          <w:szCs w:val="22"/>
        </w:rPr>
      </w:pPr>
    </w:p>
    <w:p w14:paraId="1D5F460B">
      <w:pPr>
        <w:pStyle w:val="12"/>
        <w:jc w:val="both"/>
        <w:rPr>
          <w:sz w:val="22"/>
          <w:szCs w:val="22"/>
        </w:rPr>
      </w:pPr>
    </w:p>
    <w:p w14:paraId="3A2C71AB">
      <w:pPr>
        <w:pStyle w:val="12"/>
        <w:jc w:val="both"/>
        <w:rPr>
          <w:sz w:val="22"/>
          <w:szCs w:val="22"/>
        </w:rPr>
      </w:pPr>
      <w:r>
        <w:rPr>
          <w:sz w:val="22"/>
          <w:szCs w:val="22"/>
        </w:rPr>
        <w:t xml:space="preserve">A) </w:t>
      </w:r>
      <w:r>
        <w:rPr>
          <w:b/>
          <w:bCs/>
          <w:sz w:val="22"/>
          <w:szCs w:val="22"/>
        </w:rPr>
        <w:t>El número de años consecutivos de prestación de servicios</w:t>
      </w:r>
    </w:p>
    <w:p w14:paraId="5BEB7F07">
      <w:pPr>
        <w:pStyle w:val="12"/>
        <w:jc w:val="both"/>
        <w:rPr>
          <w:sz w:val="22"/>
          <w:szCs w:val="22"/>
        </w:rPr>
      </w:pPr>
    </w:p>
    <w:p w14:paraId="050AD347">
      <w:pPr>
        <w:pStyle w:val="12"/>
        <w:jc w:val="both"/>
        <w:rPr>
          <w:sz w:val="22"/>
          <w:szCs w:val="22"/>
        </w:rPr>
      </w:pPr>
      <w:r>
        <w:rPr>
          <w:sz w:val="22"/>
          <w:szCs w:val="22"/>
        </w:rPr>
        <w:t xml:space="preserve">En relación con la duración «injustificadamente larga» de los nombramientos como un indicio para reconocer la existencia de fraude, no es extemporáneo advertir que la </w:t>
      </w:r>
      <w:r>
        <w:rPr>
          <w:b/>
          <w:bCs/>
          <w:sz w:val="22"/>
          <w:szCs w:val="22"/>
        </w:rPr>
        <w:t>STJUE de 3 de junio de 2021</w:t>
      </w:r>
      <w:r>
        <w:rPr>
          <w:sz w:val="22"/>
          <w:szCs w:val="22"/>
        </w:rPr>
        <w:t>, asunto C-726/2019 (IMIDRA) establece como periodo de referencia el plazo de tres años establecido en el artículo 70.1 TREBEP (apartado 61). En relación con el plazo de referencia de la duración, resulta especialmente ilustrativo el pronunciamiento de la STS 1543/2021, de 20 de diciembre (recurso 6902/2019) que reconoce lo siguiente:</w:t>
      </w:r>
    </w:p>
    <w:p w14:paraId="0512FD87">
      <w:pPr>
        <w:pStyle w:val="12"/>
        <w:jc w:val="both"/>
        <w:rPr>
          <w:sz w:val="22"/>
          <w:szCs w:val="22"/>
        </w:rPr>
      </w:pPr>
    </w:p>
    <w:p w14:paraId="118896CF">
      <w:pPr>
        <w:pStyle w:val="12"/>
        <w:jc w:val="both"/>
        <w:rPr>
          <w:i/>
          <w:iCs/>
          <w:sz w:val="22"/>
          <w:szCs w:val="22"/>
        </w:rPr>
      </w:pPr>
      <w:r>
        <w:rPr>
          <w:i/>
          <w:iCs/>
          <w:sz w:val="22"/>
          <w:szCs w:val="22"/>
        </w:rPr>
        <w:t>"Pues bien, aplicando este criterio al presente caso, resulta que el periodo de cinco años y medio en que la demandante y ahora recurrida prestó sus servicios como personal interino es, por sí solo, injustificadamente prolongado."</w:t>
      </w:r>
    </w:p>
    <w:p w14:paraId="1E1B1DCD">
      <w:pPr>
        <w:pStyle w:val="12"/>
        <w:jc w:val="both"/>
        <w:rPr>
          <w:i/>
          <w:iCs/>
          <w:sz w:val="22"/>
          <w:szCs w:val="22"/>
        </w:rPr>
      </w:pPr>
    </w:p>
    <w:p w14:paraId="67DAD1FD">
      <w:pPr>
        <w:pStyle w:val="12"/>
        <w:jc w:val="both"/>
        <w:rPr>
          <w:sz w:val="22"/>
          <w:szCs w:val="22"/>
        </w:rPr>
      </w:pPr>
      <w:r>
        <w:rPr>
          <w:sz w:val="22"/>
          <w:szCs w:val="22"/>
        </w:rPr>
        <w:t xml:space="preserve">Además, la STJUE de 13 de junio de 2024 establece que se puede considerar que </w:t>
      </w:r>
      <w:r>
        <w:rPr>
          <w:b/>
          <w:bCs/>
          <w:sz w:val="22"/>
          <w:szCs w:val="22"/>
        </w:rPr>
        <w:t>existe abuso</w:t>
      </w:r>
      <w:r>
        <w:rPr>
          <w:sz w:val="22"/>
          <w:szCs w:val="22"/>
        </w:rPr>
        <w:t xml:space="preserve"> de temporalidad cuando las relaciones de empleo temporales exceden de </w:t>
      </w:r>
      <w:r>
        <w:rPr>
          <w:b/>
          <w:bCs/>
          <w:sz w:val="22"/>
          <w:szCs w:val="22"/>
        </w:rPr>
        <w:t>dos años</w:t>
      </w:r>
      <w:r>
        <w:rPr>
          <w:sz w:val="22"/>
          <w:szCs w:val="22"/>
        </w:rPr>
        <w:t xml:space="preserve"> "si no satisfacen necesidades del empleador de que se trate que sean provisionales, sino permanentes y estables" y no se cumple los plazos que marca la norma nacional (el Estatuto Básico del Empleado Público) para proveer la plaza ocupada por el empleado público temporal.</w:t>
      </w:r>
      <w:bookmarkStart w:id="6" w:name="_Hlk169175875"/>
      <w:bookmarkEnd w:id="6"/>
    </w:p>
    <w:p w14:paraId="04F12F0A">
      <w:pPr>
        <w:pStyle w:val="12"/>
        <w:jc w:val="both"/>
        <w:rPr>
          <w:sz w:val="22"/>
          <w:szCs w:val="22"/>
        </w:rPr>
      </w:pPr>
    </w:p>
    <w:p w14:paraId="5254483D">
      <w:pPr>
        <w:pStyle w:val="12"/>
        <w:jc w:val="both"/>
        <w:rPr>
          <w:sz w:val="22"/>
          <w:szCs w:val="22"/>
        </w:rPr>
      </w:pPr>
    </w:p>
    <w:p w14:paraId="7C8C1B27">
      <w:pPr>
        <w:pStyle w:val="12"/>
        <w:jc w:val="both"/>
        <w:rPr>
          <w:sz w:val="22"/>
          <w:szCs w:val="22"/>
        </w:rPr>
      </w:pPr>
    </w:p>
    <w:p w14:paraId="22ED537F">
      <w:pPr>
        <w:jc w:val="both"/>
      </w:pPr>
      <w:r>
        <w:rPr>
          <w:rFonts w:ascii="Arial" w:hAnsi="Arial"/>
        </w:rPr>
        <w:t xml:space="preserve">B) </w:t>
      </w:r>
      <w:r>
        <w:rPr>
          <w:rFonts w:ascii="Arial" w:hAnsi="Arial"/>
          <w:b/>
          <w:bCs/>
        </w:rPr>
        <w:t>Ausencia manifiesta de razón objetiva</w:t>
      </w:r>
    </w:p>
    <w:p w14:paraId="193ED031">
      <w:pPr>
        <w:jc w:val="both"/>
      </w:pPr>
      <w:r>
        <w:rPr>
          <w:rFonts w:ascii="Arial" w:hAnsi="Arial"/>
        </w:rPr>
        <w:t xml:space="preserve">Estamos ante relaciones temporales fraudulentas cuando la Administración pública utiliza injustificadamente el régimen jurídico de la ocupación temporal. En relación con esto son especialmente significativos los argumentos utilizados a la </w:t>
      </w:r>
      <w:r>
        <w:rPr>
          <w:rFonts w:ascii="Arial" w:hAnsi="Arial"/>
          <w:b/>
          <w:bCs/>
        </w:rPr>
        <w:t>STS 1535/2021, de 20 de diciembre</w:t>
      </w:r>
      <w:r>
        <w:rPr>
          <w:rFonts w:ascii="Arial" w:hAnsi="Arial"/>
        </w:rPr>
        <w:t xml:space="preserve"> (nº recurso 4659/2019) para declarar la existencia objetiva de abuso de temporalidad: </w:t>
      </w:r>
      <w:r>
        <w:rPr>
          <w:rFonts w:ascii="Arial" w:hAnsi="Arial"/>
          <w:i/>
          <w:iCs/>
        </w:rPr>
        <w:t>"No cabe duda acerca de que la relación laboral mantenida por el hoy recurrente con la Comunidad de Madrid encaja plenamente en el concepto de "sucesivos contratos o relaciones laborales de duración determinada" de la cláusula 5ª del Acuerdo Marco que incorpora la Directiva 1999/70/CE del Consejo, de 28 de junio de 1999, ello porque de los hechos que han quedado reflejados deriva claramente que la relación de servicio de duración determinada que le une a la Comunidad de Madrid se caracteriza porque (i) lo es hasta que la plaza vacante para la que ha sido nombrado sea provista de forma definitiva, (ii) la plaza ocupada, en el marco un nombramiento sucesivamente renovado, lo ha sido de modo ininterrumpido durante varios años y desempeñando de forma constante y continuada las mismas funciones, (iii) el mantenimiento de modo permanente de dicho empleado público en esa plaza vacante se debe al incumplimiento por parte del empleador de su obligación legal de organizar en el plazo previsto un proceso selectivo al objeto de proveer definitivamente la mencionada plaza vacante."</w:t>
      </w:r>
      <w:r>
        <w:rPr>
          <w:rFonts w:ascii="Arial" w:hAnsi="Arial"/>
        </w:rPr>
        <w:t xml:space="preserve"> Por todo esto, acaba llegando a la conclusión que </w:t>
      </w:r>
      <w:r>
        <w:rPr>
          <w:rFonts w:ascii="Arial" w:hAnsi="Arial"/>
          <w:i/>
          <w:iCs/>
        </w:rPr>
        <w:t>"nos encontramos con que el recurrente ha estado en una situación de interinidad -que no consta que haya finalizado- que es, por sí sola, injustificadamente prolongada por llegar a los 13 años, sin que la Administración haya hecho nada para mostrar que ese nombramiento como personal eventual estuviera destinado a algo distinto que cubrir una necesidad permanente. Y esto es lo que habría debido justificar para despejar cualquier sombra de abuso."</w:t>
      </w:r>
      <w:r>
        <w:rPr>
          <w:rFonts w:ascii="Arial" w:hAnsi="Arial"/>
        </w:rPr>
        <w:t xml:space="preserve"> Este mismo razonamiento se contempla también en la </w:t>
      </w:r>
      <w:r>
        <w:rPr>
          <w:rFonts w:ascii="Arial" w:hAnsi="Arial"/>
          <w:b/>
          <w:bCs/>
        </w:rPr>
        <w:t>STS 1534/2021, de 20 de diciembre</w:t>
      </w:r>
      <w:r>
        <w:rPr>
          <w:rFonts w:ascii="Arial" w:hAnsi="Arial"/>
        </w:rPr>
        <w:t xml:space="preserve"> (nº recurso 2489/2019).</w:t>
      </w:r>
    </w:p>
    <w:p w14:paraId="28EC55AC">
      <w:pPr>
        <w:jc w:val="both"/>
      </w:pPr>
      <w:r>
        <w:rPr>
          <w:rFonts w:ascii="Arial" w:hAnsi="Arial"/>
        </w:rPr>
        <w:t xml:space="preserve">De acuerdo con los antecedentes que constan en mi expediente personal, es evidente que </w:t>
      </w:r>
      <w:r>
        <w:rPr>
          <w:rFonts w:ascii="Arial" w:hAnsi="Arial"/>
          <w:highlight w:val="yellow"/>
        </w:rPr>
        <w:t xml:space="preserve">el </w:t>
      </w:r>
    </w:p>
    <w:p w14:paraId="6DEF433E">
      <w:pPr>
        <w:jc w:val="both"/>
      </w:pPr>
      <w:r>
        <w:rPr>
          <w:rFonts w:ascii="Arial" w:hAnsi="Arial"/>
          <w:highlight w:val="yellow"/>
        </w:rPr>
        <w:t>(ELEGIR UNA SEGÚN SITUACIÓN)</w:t>
      </w:r>
    </w:p>
    <w:p w14:paraId="6BE30F08">
      <w:pPr>
        <w:jc w:val="both"/>
      </w:pPr>
      <w:r>
        <w:rPr>
          <w:rFonts w:ascii="Arial" w:hAnsi="Arial"/>
          <w:highlight w:val="yellow"/>
        </w:rPr>
        <w:t xml:space="preserve">SITUACIÓN1: mantenimiento prolongado de la relación de interinidad tiene como finalidad la cobertura de tareas estructurales </w:t>
      </w:r>
    </w:p>
    <w:p w14:paraId="09B83C05">
      <w:pPr>
        <w:jc w:val="both"/>
      </w:pPr>
      <w:r>
        <w:rPr>
          <w:rFonts w:ascii="Arial" w:hAnsi="Arial"/>
          <w:highlight w:val="yellow"/>
        </w:rPr>
        <w:t xml:space="preserve">SITUACIÓN2: encadenamiento sucesivo de relaciones temporales para cubrir de forma permanente y estable necesidades ordinarias en materia de personal con la finalidad de la cobertura de tareas estructurales </w:t>
      </w:r>
    </w:p>
    <w:p w14:paraId="14F43967">
      <w:pPr>
        <w:jc w:val="both"/>
      </w:pPr>
    </w:p>
    <w:p w14:paraId="7BF126D0">
      <w:pPr>
        <w:jc w:val="both"/>
      </w:pPr>
      <w:r>
        <w:rPr>
          <w:rFonts w:ascii="Arial" w:hAnsi="Arial"/>
          <w:highlight w:val="yellow"/>
        </w:rPr>
        <w:t>de XXXXXXXXXXXXXX (PONER ADMINISTRACIÓN EN LA QUE SE PRESTAN SERVICIOS)</w:t>
      </w:r>
      <w:r>
        <w:rPr>
          <w:rFonts w:ascii="Arial" w:hAnsi="Arial"/>
        </w:rPr>
        <w:t xml:space="preserve"> y son un subterfugio para paliar el manifiesto déficit de personal fijo vide </w:t>
      </w:r>
      <w:r>
        <w:rPr>
          <w:rFonts w:ascii="Arial" w:hAnsi="Arial"/>
          <w:b/>
          <w:bCs/>
        </w:rPr>
        <w:t>STJUE de 24 de junio de 2021</w:t>
      </w:r>
      <w:r>
        <w:rPr>
          <w:rFonts w:ascii="Arial" w:hAnsi="Arial"/>
        </w:rPr>
        <w:t xml:space="preserve">, asunto C-550/19 (ACCIONA AGUA), apartado 64 y la reciente </w:t>
      </w:r>
      <w:r>
        <w:rPr>
          <w:rFonts w:ascii="Arial" w:hAnsi="Arial"/>
          <w:b/>
          <w:bCs/>
        </w:rPr>
        <w:t>STJUE de 13 de junio de 2024.</w:t>
      </w:r>
    </w:p>
    <w:p w14:paraId="1CD87D6D">
      <w:pPr>
        <w:jc w:val="both"/>
      </w:pPr>
    </w:p>
    <w:p w14:paraId="0EBC878F">
      <w:pPr>
        <w:pStyle w:val="12"/>
        <w:rPr>
          <w:sz w:val="22"/>
          <w:szCs w:val="22"/>
        </w:rPr>
      </w:pPr>
      <w:r>
        <w:rPr>
          <w:sz w:val="22"/>
          <w:szCs w:val="22"/>
        </w:rPr>
        <w:t>C)</w:t>
      </w:r>
      <w:r>
        <w:rPr>
          <w:b/>
          <w:bCs/>
          <w:sz w:val="22"/>
          <w:szCs w:val="22"/>
        </w:rPr>
        <w:t xml:space="preserve"> Inexistencia real de límites máximo de duración de estos tipos de relaciones</w:t>
      </w:r>
    </w:p>
    <w:p w14:paraId="512632A5">
      <w:pPr>
        <w:pStyle w:val="12"/>
        <w:jc w:val="center"/>
        <w:rPr>
          <w:sz w:val="22"/>
          <w:szCs w:val="22"/>
        </w:rPr>
      </w:pPr>
    </w:p>
    <w:p w14:paraId="249E0667">
      <w:pPr>
        <w:pStyle w:val="12"/>
        <w:jc w:val="both"/>
        <w:rPr>
          <w:sz w:val="22"/>
          <w:szCs w:val="22"/>
        </w:rPr>
      </w:pPr>
      <w:r>
        <w:rPr>
          <w:sz w:val="22"/>
          <w:szCs w:val="22"/>
        </w:rPr>
        <w:t xml:space="preserve">El incumplimiento por parte de la Administración de ejecutar procesos selectivos para proveer con personal fijo las plazas ocupadas mediante personal temporal no se puede justificar en base a la existencia de limitaciones presupuestarias. Esto no es posible porque como reconoce la STJUE de 26 de noviembre de 2014, asunto C- 22/13 (MASCOLO), apartado 110 </w:t>
      </w:r>
      <w:r>
        <w:rPr>
          <w:i/>
          <w:iCs/>
          <w:sz w:val="22"/>
          <w:szCs w:val="22"/>
        </w:rPr>
        <w:t>"ni la gestión rigurosa del personal, ni las consideraciones de índole presupuestaria, ni la dificultad o complejidad de crear empleos fijos, pueden justificar una discriminación, ni la falta de medidas de prevención y sanción de la utilización abusiva de sucesivos contratos de trabajo de duración determinada"</w:t>
      </w:r>
      <w:r>
        <w:rPr>
          <w:sz w:val="22"/>
          <w:szCs w:val="22"/>
        </w:rPr>
        <w:t xml:space="preserve">. En el mismo sentido se pronuncia el TJUE a la Sentencia de 21 de septiembre de 2016, asunto C-614/15 (RODICA POPESCU), apartado 63 y a la Sentencia de 25 de octubre, asunto C-331/17 (SCIOTTO), apartado 55. Aun así, en relación con la crisis económica comenzada en 2008 y que produjo una contención de las ofertas públicas de ocupación, la citada STJUE de 3 de junio de 2021, asunto C -726/2019 (IMIDRA) reconoce en el apartado 91 que estas razones no pueden justificar una falta de cualquier medida preventiva, extremo que ya fue validado internamente por la </w:t>
      </w:r>
      <w:r>
        <w:rPr>
          <w:b/>
          <w:bCs/>
          <w:sz w:val="22"/>
          <w:szCs w:val="22"/>
        </w:rPr>
        <w:t>STS 1426/2018, de 26 de septiembre de 2018</w:t>
      </w:r>
      <w:r>
        <w:rPr>
          <w:sz w:val="22"/>
          <w:szCs w:val="22"/>
        </w:rPr>
        <w:t xml:space="preserve"> (nº recurso 1305/2017).</w:t>
      </w:r>
    </w:p>
    <w:p w14:paraId="3A956253">
      <w:pPr>
        <w:pStyle w:val="12"/>
        <w:jc w:val="both"/>
        <w:rPr>
          <w:sz w:val="22"/>
          <w:szCs w:val="22"/>
        </w:rPr>
      </w:pPr>
    </w:p>
    <w:p w14:paraId="149F242F">
      <w:pPr>
        <w:pStyle w:val="12"/>
        <w:jc w:val="both"/>
        <w:rPr>
          <w:sz w:val="22"/>
          <w:szCs w:val="22"/>
        </w:rPr>
      </w:pPr>
      <w:r>
        <w:rPr>
          <w:sz w:val="22"/>
          <w:szCs w:val="22"/>
        </w:rPr>
        <w:t xml:space="preserve">La STJUE de 13 de junio de 2024 establece además que se puede considerar que </w:t>
      </w:r>
      <w:r>
        <w:rPr>
          <w:b/>
          <w:bCs/>
          <w:sz w:val="22"/>
          <w:szCs w:val="22"/>
        </w:rPr>
        <w:t>existe abuso</w:t>
      </w:r>
      <w:r>
        <w:rPr>
          <w:sz w:val="22"/>
          <w:szCs w:val="22"/>
        </w:rPr>
        <w:t xml:space="preserve"> de temporalidad cuando las relaciones de empleo temporales </w:t>
      </w:r>
      <w:r>
        <w:rPr>
          <w:b/>
          <w:bCs/>
          <w:sz w:val="22"/>
          <w:szCs w:val="22"/>
        </w:rPr>
        <w:t>exceden de dos años</w:t>
      </w:r>
      <w:r>
        <w:rPr>
          <w:sz w:val="22"/>
          <w:szCs w:val="22"/>
        </w:rPr>
        <w:t xml:space="preserve"> "si no satisfacen necesidades del empleador de que se trate que sean provisionales, sino permanentes y estables" y no se cumple los plazos que marca la norma nacional (el Estatuto Básico del Empleado Público) para proveer la plaza ocupada por el empleado público temporal.</w:t>
      </w:r>
    </w:p>
    <w:p w14:paraId="68B40677">
      <w:pPr>
        <w:pStyle w:val="12"/>
        <w:jc w:val="both"/>
        <w:rPr>
          <w:sz w:val="22"/>
          <w:szCs w:val="22"/>
        </w:rPr>
      </w:pPr>
    </w:p>
    <w:p w14:paraId="58335909">
      <w:pPr>
        <w:pStyle w:val="12"/>
        <w:jc w:val="both"/>
        <w:rPr>
          <w:sz w:val="22"/>
          <w:szCs w:val="22"/>
        </w:rPr>
      </w:pPr>
      <w:r>
        <w:rPr>
          <w:b/>
          <w:bCs/>
          <w:sz w:val="22"/>
          <w:szCs w:val="22"/>
        </w:rPr>
        <w:t>Este es el escenario fáctico de mi relación con esta Administración.</w:t>
      </w:r>
      <w:r>
        <w:rPr>
          <w:sz w:val="22"/>
          <w:szCs w:val="22"/>
        </w:rPr>
        <w:t xml:space="preserve"> Es decir, se han utilizado de forma permanente relaciones temporales para cubrir sine die necesidades estructurales y no provisionales, extremo que advierte el abuso que la Directiva 1999/70/CE pretende eliminar. No es menos cierto, que las Administraciones públicas tienen permitido acudir a la contratación temporal. Ahora bien, el uso que la Administración hace de esta habilitación tiene que acreditarse para no incurrir en desviación de poder, fraude de ley y, en definitiva, abuso de derecho en la contratación temporal [STJUE, de 19 de marzo de 2020, asuntos acumulados C-103/18 Y C-429/18 (SANCHEZ RUIZ) apartado 80] y STJUE de 13 de junio de 2024.</w:t>
      </w:r>
    </w:p>
    <w:p w14:paraId="533B26EC">
      <w:pPr>
        <w:pStyle w:val="12"/>
        <w:jc w:val="both"/>
        <w:rPr>
          <w:sz w:val="22"/>
          <w:szCs w:val="22"/>
        </w:rPr>
      </w:pPr>
    </w:p>
    <w:p w14:paraId="701DA8CD">
      <w:pPr>
        <w:pStyle w:val="12"/>
        <w:jc w:val="both"/>
        <w:rPr>
          <w:sz w:val="22"/>
          <w:szCs w:val="22"/>
        </w:rPr>
      </w:pPr>
    </w:p>
    <w:p w14:paraId="424C29BB">
      <w:pPr>
        <w:pStyle w:val="12"/>
        <w:jc w:val="center"/>
        <w:rPr>
          <w:sz w:val="22"/>
          <w:szCs w:val="22"/>
        </w:rPr>
      </w:pPr>
      <w:r>
        <w:rPr>
          <w:b/>
          <w:bCs/>
          <w:sz w:val="22"/>
          <w:szCs w:val="22"/>
        </w:rPr>
        <w:t>Consecuencias legales aplicables a las relaciones de duración determinada</w:t>
      </w:r>
    </w:p>
    <w:p w14:paraId="61A0C1DF">
      <w:pPr>
        <w:pStyle w:val="12"/>
        <w:jc w:val="center"/>
        <w:rPr>
          <w:sz w:val="22"/>
          <w:szCs w:val="22"/>
        </w:rPr>
      </w:pPr>
      <w:r>
        <w:rPr>
          <w:b/>
          <w:bCs/>
          <w:sz w:val="22"/>
          <w:szCs w:val="22"/>
        </w:rPr>
        <w:t>declaradas en abuso</w:t>
      </w:r>
    </w:p>
    <w:p w14:paraId="04F5D214">
      <w:pPr>
        <w:pStyle w:val="12"/>
        <w:jc w:val="both"/>
        <w:rPr>
          <w:sz w:val="22"/>
          <w:szCs w:val="22"/>
        </w:rPr>
      </w:pPr>
    </w:p>
    <w:p w14:paraId="1603C526">
      <w:pPr>
        <w:pStyle w:val="12"/>
        <w:jc w:val="both"/>
        <w:rPr>
          <w:sz w:val="22"/>
          <w:szCs w:val="22"/>
        </w:rPr>
      </w:pPr>
    </w:p>
    <w:p w14:paraId="12D695C8">
      <w:pPr>
        <w:pStyle w:val="12"/>
        <w:jc w:val="both"/>
        <w:rPr>
          <w:sz w:val="22"/>
          <w:szCs w:val="22"/>
        </w:rPr>
      </w:pPr>
      <w:r>
        <w:rPr>
          <w:sz w:val="22"/>
          <w:szCs w:val="22"/>
        </w:rPr>
        <w:t xml:space="preserve">Una vez justificada la existencia de un </w:t>
      </w:r>
      <w:r>
        <w:rPr>
          <w:b/>
          <w:bCs/>
          <w:sz w:val="22"/>
          <w:szCs w:val="22"/>
        </w:rPr>
        <w:t>abuso</w:t>
      </w:r>
      <w:r>
        <w:rPr>
          <w:sz w:val="22"/>
          <w:szCs w:val="22"/>
        </w:rPr>
        <w:t xml:space="preserve"> en la vinculación temporal, básicamente por su excesiva e inusual duración y abuso de derecho del su régimen jurídico, se hace imprescindible ej. Cláusula 5 del Acuerdo anexo a la DIRECTIVA 1999/70/CE y art. 7.2 CC aplicar como mínimo una medida sancionadora por la vulneración del régimen temporal [STJUE de 25 de octubre, asunto C-494/17 (ROSSATO), apartado 28]. En este sentido, la STJUE, de 19 de marzo de 2020, asuntos acumulados C-103/18 y C-429/18 (SANCHEZ RUIZ) establece, en el apartado 88 que </w:t>
      </w:r>
      <w:r>
        <w:rPr>
          <w:i/>
          <w:iCs/>
          <w:sz w:val="22"/>
          <w:szCs w:val="22"/>
        </w:rPr>
        <w:t>"Cuando se ha producido una utilización abusiva de sucesivos contratos o relaciones laborales de duración determinada, es indispensable poder aplicar alguna medida que presente garantías de protección de los trabajadores efectivas y equivalentes, con objeto de sancionar debidamente dicho abuso y eliminar las consecuencias de la infracción del Derecho de la Unión”</w:t>
      </w:r>
      <w:r>
        <w:rPr>
          <w:sz w:val="22"/>
          <w:szCs w:val="22"/>
        </w:rPr>
        <w:t>.</w:t>
      </w:r>
    </w:p>
    <w:p w14:paraId="684D0DE2">
      <w:pPr>
        <w:pStyle w:val="12"/>
        <w:jc w:val="both"/>
        <w:rPr>
          <w:sz w:val="22"/>
          <w:szCs w:val="22"/>
        </w:rPr>
      </w:pPr>
    </w:p>
    <w:p w14:paraId="130B90EA">
      <w:pPr>
        <w:pStyle w:val="12"/>
        <w:jc w:val="center"/>
        <w:rPr>
          <w:sz w:val="22"/>
          <w:szCs w:val="22"/>
        </w:rPr>
      </w:pPr>
      <w:r>
        <w:rPr>
          <w:sz w:val="22"/>
          <w:szCs w:val="22"/>
        </w:rPr>
        <w:t>I. FIJEZA LABORAL. ESTABILIDAD EN LA OCUPACIÓN</w:t>
      </w:r>
    </w:p>
    <w:p w14:paraId="23E1433D">
      <w:pPr>
        <w:pStyle w:val="12"/>
        <w:jc w:val="both"/>
        <w:rPr>
          <w:sz w:val="22"/>
          <w:szCs w:val="22"/>
        </w:rPr>
      </w:pPr>
    </w:p>
    <w:p w14:paraId="7A1C6F9F">
      <w:pPr>
        <w:pStyle w:val="12"/>
        <w:jc w:val="both"/>
        <w:rPr>
          <w:sz w:val="22"/>
          <w:szCs w:val="22"/>
        </w:rPr>
      </w:pPr>
      <w:r>
        <w:rPr>
          <w:sz w:val="22"/>
          <w:szCs w:val="22"/>
        </w:rPr>
        <w:t>El objetivo que se pretende lograr a nivel europeo mediante la Directiva 1999/70/CE es la estabilidad en la ocupación. Por lo tanto, una relación temporal en régimen administrativo que sea declarada abusiva y fraudulenta se tiene que transformar en una relación indefinida, como medida sancionadora y disuasiva que proteja de forma integral a la persona trabajadora y garantice su estabilidad laboral de forma efectiva, evitando la precariedad laboral.</w:t>
      </w:r>
    </w:p>
    <w:p w14:paraId="505BD890">
      <w:pPr>
        <w:pStyle w:val="12"/>
        <w:jc w:val="both"/>
        <w:rPr>
          <w:sz w:val="22"/>
          <w:szCs w:val="22"/>
        </w:rPr>
      </w:pPr>
    </w:p>
    <w:p w14:paraId="73E57862">
      <w:pPr>
        <w:pStyle w:val="12"/>
        <w:jc w:val="both"/>
        <w:rPr>
          <w:sz w:val="22"/>
          <w:szCs w:val="22"/>
        </w:rPr>
      </w:pPr>
      <w:r>
        <w:rPr>
          <w:sz w:val="22"/>
          <w:szCs w:val="22"/>
        </w:rPr>
        <w:t xml:space="preserve">Entiende esta parte que transformar la relación temporal abusiva en una fija es una petición sensible considerando la eventual vulneración del régimen constitucional y legal en cuanto al acceso a la ocupación pública. En este sentido, hay que decir que durante todos estos años de ocupación estable el compareciente ha demostrado </w:t>
      </w:r>
      <w:r>
        <w:rPr>
          <w:b/>
          <w:bCs/>
          <w:sz w:val="22"/>
          <w:szCs w:val="22"/>
        </w:rPr>
        <w:t>mérito y capacidad</w:t>
      </w:r>
      <w:r>
        <w:rPr>
          <w:sz w:val="22"/>
          <w:szCs w:val="22"/>
        </w:rPr>
        <w:t xml:space="preserve"> suficiente para desarrollar las tareas propias del cuerpo al cual pertenece, considerando que la experiencia profesional adquirida durante la prestación de servicios también es una vía idónea para acreditar estos requisitos, entendidos como la adecuación, la aptitud y las capacidades de la persona en relación con las funciones a desarrollar vide </w:t>
      </w:r>
      <w:r>
        <w:rPr>
          <w:b/>
          <w:bCs/>
          <w:sz w:val="22"/>
          <w:szCs w:val="22"/>
        </w:rPr>
        <w:t>STC 281/1993, de 27 de septiembre</w:t>
      </w:r>
      <w:r>
        <w:rPr>
          <w:sz w:val="22"/>
          <w:szCs w:val="22"/>
        </w:rPr>
        <w:t xml:space="preserve"> y </w:t>
      </w:r>
      <w:r>
        <w:rPr>
          <w:b/>
          <w:bCs/>
          <w:sz w:val="22"/>
          <w:szCs w:val="22"/>
        </w:rPr>
        <w:t>STC 107/2003, de 2 de julio.</w:t>
      </w:r>
    </w:p>
    <w:p w14:paraId="459A843F">
      <w:pPr>
        <w:pStyle w:val="12"/>
        <w:jc w:val="both"/>
        <w:rPr>
          <w:sz w:val="22"/>
          <w:szCs w:val="22"/>
        </w:rPr>
      </w:pPr>
    </w:p>
    <w:p w14:paraId="6B87A168">
      <w:pPr>
        <w:pStyle w:val="12"/>
        <w:jc w:val="both"/>
        <w:rPr>
          <w:sz w:val="22"/>
          <w:szCs w:val="22"/>
        </w:rPr>
      </w:pPr>
      <w:r>
        <w:rPr>
          <w:sz w:val="22"/>
          <w:szCs w:val="22"/>
        </w:rPr>
        <w:t>Teniendo acreditado mérito y capacidad e idoneidad para el desempeño de las funciones públicas que me han sido encomendadas, no solo a través de los  años de servicios prestados, sino también porque accedí a través de llamamiento de bolsa tras una oposición, sujeta a principios de igualdad, publicidad y libre concurrencia dándose así cumplimento a lo que desde el año 1978 establece el art. 23 de la CE y el art. 10.2 del EBEP y realizando funciones ordinarias y estructurales propias de funcionarios de carrera, pues el trabajo del servicio se reparte igualitariamente entre los funcionarios de carrera y los temporales interinos de servicio, en función de su horario y jornada de trabajo, sin que realice tareas extraordinarias, excepcionales o coyunturales, sino que asumo la misma responsabilidad y funciones que los funcionarios de carrera comparables.</w:t>
      </w:r>
    </w:p>
    <w:p w14:paraId="0DD1041F">
      <w:pPr>
        <w:pStyle w:val="12"/>
        <w:jc w:val="both"/>
        <w:rPr>
          <w:sz w:val="22"/>
          <w:szCs w:val="22"/>
        </w:rPr>
      </w:pPr>
    </w:p>
    <w:p w14:paraId="1FDD95F6">
      <w:pPr>
        <w:pStyle w:val="12"/>
        <w:jc w:val="both"/>
        <w:rPr>
          <w:sz w:val="22"/>
          <w:szCs w:val="22"/>
        </w:rPr>
      </w:pPr>
      <w:r>
        <w:rPr>
          <w:sz w:val="22"/>
          <w:szCs w:val="22"/>
        </w:rPr>
        <w:t>En este escenario, es esencial llevar a colación la</w:t>
      </w:r>
      <w:r>
        <w:rPr>
          <w:b/>
          <w:bCs/>
          <w:sz w:val="22"/>
          <w:szCs w:val="22"/>
        </w:rPr>
        <w:t xml:space="preserve"> SJCA AL 252/2020, de 8 de junio de 2020</w:t>
      </w:r>
      <w:r>
        <w:rPr>
          <w:sz w:val="22"/>
          <w:szCs w:val="22"/>
        </w:rPr>
        <w:t xml:space="preserve"> (nº recurso 813/2019), en la cual se admite como única sanción compatible con la Directiva 1999/70/CE y el ordenamiento jurídico interno español </w:t>
      </w:r>
      <w:r>
        <w:rPr>
          <w:i/>
          <w:iCs/>
          <w:sz w:val="22"/>
          <w:szCs w:val="22"/>
        </w:rPr>
        <w:t>"la fijeza de plantilla mediante la transformación del vínculo temporal en un indefinido y fijo sometida al mismo e idéntico régimen jurídico que el establecido por los funcionarios de carrera comparables, pero sin adquirir tal condición”</w:t>
      </w:r>
      <w:r>
        <w:rPr>
          <w:sz w:val="22"/>
          <w:szCs w:val="22"/>
        </w:rPr>
        <w:t>. La Magistrada entiende que esta es la única medida proporcional, efectiva y disuasiva disponible para sancionar el abuso y garantizar el efecto útil de la Directiva 1999/70/CE y, en definitiva, es la que esta parte solicita de forma principal como medida sancionadora. Este pronunciamiento se ha reiterado mediante la reciente SJCA BCN 17 335/2021, de 5 de noviembre de 2021 (nº recurso 362/2020) o la SJCA MAD 32 289/2020, de 21 de octubre de 2021 (nº recurso 205/2021), así como en la STJUE de 22 de febrero de 2024 - asuntos acumulados C-59/22, C-110/22 Y C-159/22 que establece que a falta de medidas adecuadas en el Derecho nacional para prevenir y, en su caso, sancionar, con arreglo a la cláusula 5 del Acuerdo Marco sobre el trabajo de duración determinada, celebrado el 18 de marzo de 1999, que figura en el anexo de la Directiva 1999/70, los abusos derivados de la utilización sucesiva de contratos temporales, incluidos los contratos indefinidos no fijos prorrogados sucesivamente, la conversión de esos contratos temporales en contratos fijos puede constituir tal medida.</w:t>
      </w:r>
    </w:p>
    <w:p w14:paraId="62E0B226">
      <w:pPr>
        <w:pStyle w:val="12"/>
        <w:jc w:val="both"/>
        <w:rPr>
          <w:sz w:val="22"/>
          <w:szCs w:val="22"/>
        </w:rPr>
      </w:pPr>
    </w:p>
    <w:p w14:paraId="45FF5B4A">
      <w:pPr>
        <w:pStyle w:val="12"/>
        <w:jc w:val="both"/>
        <w:rPr>
          <w:sz w:val="22"/>
          <w:szCs w:val="22"/>
        </w:rPr>
      </w:pPr>
      <w:r>
        <w:rPr>
          <w:sz w:val="22"/>
          <w:szCs w:val="22"/>
        </w:rPr>
        <w:t xml:space="preserve">En este mismo sentido el criterio que se debe considerar como se especifica en la </w:t>
      </w:r>
      <w:r>
        <w:rPr>
          <w:b/>
          <w:bCs/>
          <w:sz w:val="22"/>
          <w:szCs w:val="22"/>
        </w:rPr>
        <w:t>STSJ PV 74/2024,</w:t>
      </w:r>
      <w:r>
        <w:rPr>
          <w:sz w:val="22"/>
          <w:szCs w:val="22"/>
        </w:rPr>
        <w:t xml:space="preserve"> en primer lugar, es el manifestado en la Sentencia del TJUE de 22-2-2024, asuntos acumulados C-59/22, C-110/22 y C-159/22. De esta doctrina se deduce que los principios de acceso a la Administración por la vía del art. 103 CE pueden ser obviados desde la perspectiva de las garantías de un trabajo estable y permanente y la interpretación que se realiza de la cláusula 5ª del Acuerdo Marco sobre el trabajo de duración determinada, celebrado el 18-3-1999, Anexo de la Directiva 1999/70; y, segundo, que para evitar los perjuicios de una duración excesiva e inusualmente larga en la contratación temporal y posible abuso de la misma, y en este caso concurre, la consecuencia es la adquisición de una condición y vinculación relacional dentro del trabajo fijo y permanente, sin elementos de precariedad o inestabilidad. Y la segunda consideración es que están obligados a justificar el cambio de criterio respecto a los precedentes, para atender, con ello, a la tutela judicial efectiva ex art. 24 CE (STC 11-12-2006, Rec. 349/2006). El cambio de criterio lo apoya en la doctrina del TJUE enunciada - sentencia de 22-2-24-, y de la misma se deduce la cualidad de trabajador fijo.</w:t>
      </w:r>
    </w:p>
    <w:p w14:paraId="2CDA5253">
      <w:pPr>
        <w:pStyle w:val="12"/>
        <w:jc w:val="both"/>
        <w:rPr>
          <w:sz w:val="22"/>
          <w:szCs w:val="22"/>
        </w:rPr>
      </w:pPr>
    </w:p>
    <w:p w14:paraId="0D117E4B">
      <w:pPr>
        <w:pStyle w:val="12"/>
        <w:jc w:val="both"/>
        <w:rPr>
          <w:sz w:val="22"/>
          <w:szCs w:val="22"/>
        </w:rPr>
      </w:pPr>
      <w:r>
        <w:rPr>
          <w:sz w:val="22"/>
          <w:szCs w:val="22"/>
        </w:rPr>
        <w:t>Así pues, la declaración de fijeza es la única medida sancionadora que, ciertamente, permite lograr y garantizar el objetivo principal de las directrices comunitarias, puesto que:</w:t>
      </w:r>
    </w:p>
    <w:p w14:paraId="0149C0E3">
      <w:pPr>
        <w:pStyle w:val="12"/>
        <w:jc w:val="both"/>
        <w:rPr>
          <w:sz w:val="22"/>
          <w:szCs w:val="22"/>
        </w:rPr>
      </w:pPr>
    </w:p>
    <w:p w14:paraId="47C0D4FA">
      <w:pPr>
        <w:pStyle w:val="12"/>
        <w:jc w:val="both"/>
        <w:rPr>
          <w:sz w:val="22"/>
          <w:szCs w:val="22"/>
        </w:rPr>
      </w:pPr>
      <w:r>
        <w:rPr>
          <w:sz w:val="22"/>
          <w:szCs w:val="22"/>
        </w:rPr>
        <w:t>A) Garantiza de manera definitiva el derecho a la estabilidad en la ocupación y evitar la precariedad del colectivo de trabajadores temporales;</w:t>
      </w:r>
    </w:p>
    <w:p w14:paraId="2F3ED89B">
      <w:pPr>
        <w:pStyle w:val="12"/>
        <w:jc w:val="both"/>
        <w:rPr>
          <w:sz w:val="22"/>
          <w:szCs w:val="22"/>
        </w:rPr>
      </w:pPr>
    </w:p>
    <w:p w14:paraId="1AA3778B">
      <w:pPr>
        <w:pStyle w:val="12"/>
        <w:jc w:val="both"/>
        <w:rPr>
          <w:sz w:val="22"/>
          <w:szCs w:val="22"/>
        </w:rPr>
      </w:pPr>
      <w:r>
        <w:rPr>
          <w:sz w:val="22"/>
          <w:szCs w:val="22"/>
        </w:rPr>
        <w:t>B) Sanciona de manera efectiva a la administración empleadora por su comportamiento fraudulento, eliminando la situación abusiva en materia de temporalidad;</w:t>
      </w:r>
    </w:p>
    <w:p w14:paraId="0A6A2379">
      <w:pPr>
        <w:pStyle w:val="12"/>
        <w:jc w:val="both"/>
        <w:rPr>
          <w:sz w:val="22"/>
          <w:szCs w:val="22"/>
        </w:rPr>
      </w:pPr>
    </w:p>
    <w:p w14:paraId="198AB623">
      <w:pPr>
        <w:pStyle w:val="12"/>
        <w:jc w:val="both"/>
        <w:rPr>
          <w:sz w:val="22"/>
          <w:szCs w:val="22"/>
        </w:rPr>
      </w:pPr>
      <w:r>
        <w:rPr>
          <w:sz w:val="22"/>
          <w:szCs w:val="22"/>
        </w:rPr>
        <w:t>C) Disuade a la administración de seguir aprovechándose del régimen temporal, forzándola a que convoque procesos selectivos con la periodicidad necesaria para proveer las plazas vacantes;</w:t>
      </w:r>
    </w:p>
    <w:p w14:paraId="6132F73D">
      <w:pPr>
        <w:pStyle w:val="12"/>
        <w:jc w:val="both"/>
        <w:rPr>
          <w:sz w:val="22"/>
          <w:szCs w:val="22"/>
        </w:rPr>
      </w:pPr>
    </w:p>
    <w:p w14:paraId="0A24CD15">
      <w:pPr>
        <w:pStyle w:val="12"/>
        <w:jc w:val="both"/>
        <w:rPr>
          <w:sz w:val="22"/>
          <w:szCs w:val="22"/>
        </w:rPr>
      </w:pPr>
      <w:r>
        <w:rPr>
          <w:sz w:val="22"/>
          <w:szCs w:val="22"/>
        </w:rPr>
        <w:t>D) Compensa adecuadamente a los funcionarios temporales a través de la aplicación de una medida sancionadora proporcional y razonable.</w:t>
      </w:r>
    </w:p>
    <w:p w14:paraId="0A3E306F">
      <w:pPr>
        <w:pStyle w:val="12"/>
        <w:jc w:val="both"/>
        <w:rPr>
          <w:sz w:val="22"/>
          <w:szCs w:val="22"/>
        </w:rPr>
      </w:pPr>
    </w:p>
    <w:p w14:paraId="4976F412">
      <w:pPr>
        <w:pStyle w:val="12"/>
        <w:jc w:val="both"/>
        <w:rPr>
          <w:sz w:val="22"/>
          <w:szCs w:val="22"/>
        </w:rPr>
      </w:pPr>
      <w:r>
        <w:rPr>
          <w:sz w:val="22"/>
          <w:szCs w:val="22"/>
        </w:rPr>
        <w:t>En relación con la fijeza, el Parlamento Europeo, en la Resolución de 31 de mayo de 2018, sobre la lucha contra la precariedad y el uso abusivo de los contratos de trabajo de duración determinada [2018/2600 (RSP)], reconoce que la transformación de una relación de duración determinada en una indefinida en los supuestos de abuso de temporalidad en infracción de la normativa comunitaria, se tiene que considerar como una medida para prevenir y sancionar de manera efectiva la abuso.</w:t>
      </w:r>
    </w:p>
    <w:p w14:paraId="5BE21557">
      <w:pPr>
        <w:pStyle w:val="12"/>
        <w:jc w:val="both"/>
        <w:rPr>
          <w:sz w:val="22"/>
          <w:szCs w:val="22"/>
        </w:rPr>
      </w:pPr>
    </w:p>
    <w:p w14:paraId="52A90F44">
      <w:pPr>
        <w:pStyle w:val="12"/>
        <w:jc w:val="both"/>
        <w:rPr>
          <w:sz w:val="22"/>
          <w:szCs w:val="22"/>
        </w:rPr>
      </w:pPr>
      <w:r>
        <w:rPr>
          <w:sz w:val="22"/>
          <w:szCs w:val="22"/>
        </w:rPr>
        <w:t>La STJUE de 19 de marzo de 2020 (SANCHEZ RUIZ) recuerda la necesidad que exista al ordenamiento jurídico de los estados miembros alguna medida sancionadora (apartado 87) y la STJUE, de 25 de octubre de 2018, asunto C- 331/17 (SCIOTTO), al apartado 60 reconoce que: "para que pueda ser considerada conforme con lo Acuerdo Marco una normativa nacional, como la controvertida en el litigio principal, que prohíbe, en el sector de las fundaciones Iíricas y sinfónicas [entendido como sector público], transformar en un contrato de trabajo por tiempo indefinido una sucesión de contratos de trabajo de duración determinada, el ordenamiento jurídico interno del Estado miembro de que se trate debe contar, en dicho sector, con otra medida efectiva para evitar y, en su caso, sancionar la utilización abusiva de sucesivos contratos de trabajo de duración determinada" [ídem STJUE, de 14 de septiembre de 2016, asuntos acumulados C-184/15 y C- 197/15 (CASTREJANA LOPEZ), apartado 41].</w:t>
      </w:r>
    </w:p>
    <w:p w14:paraId="7C6E942D">
      <w:pPr>
        <w:pStyle w:val="12"/>
        <w:jc w:val="both"/>
        <w:rPr>
          <w:sz w:val="22"/>
          <w:szCs w:val="22"/>
        </w:rPr>
      </w:pPr>
    </w:p>
    <w:p w14:paraId="68884B3B">
      <w:pPr>
        <w:pStyle w:val="12"/>
        <w:jc w:val="both"/>
        <w:rPr>
          <w:sz w:val="22"/>
          <w:szCs w:val="22"/>
        </w:rPr>
      </w:pPr>
      <w:r>
        <w:rPr>
          <w:sz w:val="22"/>
          <w:szCs w:val="22"/>
        </w:rPr>
        <w:t xml:space="preserve">La </w:t>
      </w:r>
      <w:r>
        <w:rPr>
          <w:b/>
          <w:bCs/>
          <w:sz w:val="22"/>
          <w:szCs w:val="22"/>
        </w:rPr>
        <w:t>STJUE de 22 de febrero de 2024</w:t>
      </w:r>
      <w:r>
        <w:rPr>
          <w:sz w:val="22"/>
          <w:szCs w:val="22"/>
        </w:rPr>
        <w:t xml:space="preserve"> - asuntos acumulados C-59/22, C-110/22 Y C-159/22 establece que la cláusula 5 del Acuerdo Marco sobre el trabajo de duración determinada, celebrado el 18 de marzo de 1999, que figura en el anexo de la Directiva 1999/70, debe interpretarse en el sentido de que, a falta de medidas adecuadas en el Derecho nacional para prevenir y, en su caso, sancionar, con arreglo a esta cláusula 5, los abusos derivados de la utilización sucesiva de contratos temporales, incluidos los contratos indefinidos no fijos prorrogados sucesivamente, la conversión de esos contratos temporales en contratos fijos puede constituir tal medida. Corresponde, en su caso, al tribunal nacional modificar la jurisprudencia nacional consolidada si esta se basa en una interpretación de las disposiciones nacionales, incluso constitucionales, incompatible con los objetivos de la Directiva 1999/70 y, en particular, de dicha cláusula 5.</w:t>
      </w:r>
    </w:p>
    <w:p w14:paraId="201F49CC">
      <w:pPr>
        <w:pStyle w:val="12"/>
        <w:jc w:val="both"/>
        <w:rPr>
          <w:sz w:val="22"/>
          <w:szCs w:val="22"/>
        </w:rPr>
      </w:pPr>
    </w:p>
    <w:p w14:paraId="004E016B">
      <w:pPr>
        <w:pStyle w:val="12"/>
        <w:jc w:val="both"/>
        <w:rPr>
          <w:sz w:val="22"/>
          <w:szCs w:val="22"/>
        </w:rPr>
      </w:pPr>
      <w:r>
        <w:rPr>
          <w:sz w:val="22"/>
          <w:szCs w:val="22"/>
        </w:rPr>
        <w:t>Interesa recordar en este momento, que el ordenamiento jurídico español sanciona con la fijeza los abusos del régimen contractual temporal en el ámbito privado (artículo 15.4 TE). En cambio, en el ámbito de la ocupación pública no hay ninguna sanción reconocida y establecida de forma expresa.</w:t>
      </w:r>
    </w:p>
    <w:p w14:paraId="6E2FE77D">
      <w:pPr>
        <w:pStyle w:val="12"/>
        <w:jc w:val="both"/>
        <w:rPr>
          <w:sz w:val="22"/>
          <w:szCs w:val="22"/>
        </w:rPr>
      </w:pPr>
    </w:p>
    <w:p w14:paraId="16795C97">
      <w:pPr>
        <w:pStyle w:val="12"/>
        <w:jc w:val="both"/>
        <w:rPr>
          <w:sz w:val="22"/>
          <w:szCs w:val="22"/>
        </w:rPr>
      </w:pPr>
      <w:r>
        <w:rPr>
          <w:sz w:val="22"/>
          <w:szCs w:val="22"/>
        </w:rPr>
        <w:t>En consecuencia, se tiene que otorgar la fijeza con carácter preferente cuando se concluye la existencia de abuso y, en dicha relación, se acredite el respecto de los principios constitucionales de acceso al empleo.</w:t>
      </w:r>
    </w:p>
    <w:p w14:paraId="212CF726">
      <w:pPr>
        <w:pStyle w:val="12"/>
        <w:jc w:val="both"/>
        <w:rPr>
          <w:sz w:val="22"/>
          <w:szCs w:val="22"/>
        </w:rPr>
      </w:pPr>
    </w:p>
    <w:p w14:paraId="5FF8BEE1">
      <w:pPr>
        <w:pStyle w:val="12"/>
        <w:jc w:val="both"/>
        <w:rPr>
          <w:sz w:val="22"/>
          <w:szCs w:val="22"/>
        </w:rPr>
      </w:pPr>
      <w:r>
        <w:rPr>
          <w:sz w:val="22"/>
          <w:szCs w:val="22"/>
        </w:rPr>
        <w:t>Esta conclusión es totalmente coherente con los últimos pronunciamientos del Tribunal de Justicia de la Unión Europea vía ATJUE, de 30 de septiembre de 2020, asunto C-135/20 (GONDOMAR) y STJUE de 11 de febrero 2021, asunto C-760/18, (AGIOS NIKOLAOS).</w:t>
      </w:r>
    </w:p>
    <w:p w14:paraId="0384D166">
      <w:pPr>
        <w:pStyle w:val="12"/>
        <w:jc w:val="both"/>
        <w:rPr>
          <w:sz w:val="22"/>
          <w:szCs w:val="22"/>
        </w:rPr>
      </w:pPr>
    </w:p>
    <w:p w14:paraId="55CDDC6A">
      <w:pPr>
        <w:pStyle w:val="12"/>
        <w:jc w:val="both"/>
        <w:rPr>
          <w:sz w:val="22"/>
          <w:szCs w:val="22"/>
        </w:rPr>
      </w:pPr>
      <w:r>
        <w:rPr>
          <w:sz w:val="22"/>
          <w:szCs w:val="22"/>
        </w:rPr>
        <w:t>Esta petición de estabilidad como sanción al abuso de la temporalidad se puede vehicular también a través del principio de no discriminación de la Cláusula 4 deI Acuerdo anexo a la Directiva 1999/70/CE.</w:t>
      </w:r>
    </w:p>
    <w:p w14:paraId="247B8D3A">
      <w:pPr>
        <w:pStyle w:val="12"/>
        <w:jc w:val="both"/>
        <w:rPr>
          <w:sz w:val="22"/>
          <w:szCs w:val="22"/>
        </w:rPr>
      </w:pPr>
    </w:p>
    <w:p w14:paraId="03CA8F37">
      <w:pPr>
        <w:pStyle w:val="12"/>
        <w:jc w:val="both"/>
        <w:rPr>
          <w:sz w:val="22"/>
          <w:szCs w:val="22"/>
        </w:rPr>
      </w:pPr>
      <w:r>
        <w:rPr>
          <w:sz w:val="22"/>
          <w:szCs w:val="22"/>
        </w:rPr>
        <w:t>En lo referente a esto, hay que recordar que la Cláusula 4.1 del Acuerdo anexo a la Directiva 1999/70/CE, incluye una prohibición de tratar, en cuanto a las condiciones de trabajo, a los trabajadores con un contrato de duración determinada de una manera menos favorable que a los trabajadores fijos comparables por el solo hecho de tener un contrato de duración determinada, excepto que se justifique un trato diferente por razones objetivas (ATJUE, de 12 de junio de 2019, asunto C- 367/18, apartado 31). En este sentido pasamos a analizar lo siguiente:</w:t>
      </w:r>
    </w:p>
    <w:p w14:paraId="3E6E0A22">
      <w:pPr>
        <w:pStyle w:val="12"/>
        <w:jc w:val="both"/>
        <w:rPr>
          <w:sz w:val="22"/>
          <w:szCs w:val="22"/>
        </w:rPr>
      </w:pPr>
    </w:p>
    <w:p w14:paraId="69CF65FB">
      <w:pPr>
        <w:pStyle w:val="12"/>
        <w:jc w:val="both"/>
        <w:rPr>
          <w:sz w:val="22"/>
          <w:szCs w:val="22"/>
        </w:rPr>
      </w:pPr>
    </w:p>
    <w:p w14:paraId="50A4CF19">
      <w:pPr>
        <w:pStyle w:val="12"/>
        <w:jc w:val="both"/>
        <w:rPr>
          <w:sz w:val="22"/>
          <w:szCs w:val="22"/>
        </w:rPr>
      </w:pPr>
      <w:r>
        <w:rPr>
          <w:b/>
          <w:bCs/>
          <w:sz w:val="22"/>
          <w:szCs w:val="22"/>
        </w:rPr>
        <w:t>1.- Principio de no discriminación.</w:t>
      </w:r>
      <w:r>
        <w:rPr>
          <w:sz w:val="22"/>
          <w:szCs w:val="22"/>
        </w:rPr>
        <w:t xml:space="preserve"> Según reiterada jurisprudencia, el principio de no discriminación (Cláusula 4.1 del Acuerdo anexo a la DIRECTIVA 1999/70/CE) es una expresión concreta que exige que no se traten de manera diferente situaciones comparables [ATJUE, de 12 de junio de 2019, asunto C- 367/18, apartado 34, STJUE, de 21 de noviembre de 2018, asunto C-619/17 (DIEGO PORRAS 2), apartado 60].</w:t>
      </w:r>
    </w:p>
    <w:p w14:paraId="6A9C4626">
      <w:pPr>
        <w:pStyle w:val="12"/>
        <w:jc w:val="both"/>
        <w:rPr>
          <w:sz w:val="22"/>
          <w:szCs w:val="22"/>
        </w:rPr>
      </w:pPr>
    </w:p>
    <w:p w14:paraId="70699AB2">
      <w:pPr>
        <w:pStyle w:val="12"/>
        <w:jc w:val="both"/>
        <w:rPr>
          <w:sz w:val="22"/>
          <w:szCs w:val="22"/>
        </w:rPr>
      </w:pPr>
      <w:r>
        <w:rPr>
          <w:b/>
          <w:bCs/>
          <w:sz w:val="22"/>
          <w:szCs w:val="22"/>
        </w:rPr>
        <w:t>2.- Situación comparable.</w:t>
      </w:r>
      <w:r>
        <w:rPr>
          <w:sz w:val="22"/>
          <w:szCs w:val="22"/>
        </w:rPr>
        <w:t xml:space="preserve"> No hay duda que la relación laboral que une a la compareciente con la administración es de duración determinada (Cláusula 3.1 del Acuerdo anexo a la Directiva 1999/70/CE) y, efectivamente, la prestación de sus servicios es comparable a la que desarrollan los funcionarios de carrera porque la propia naturaleza jurídica del funcionario interino por vacante así lo determina [artículo 10.1 a) TREBEP].</w:t>
      </w:r>
    </w:p>
    <w:p w14:paraId="5BA279B3">
      <w:pPr>
        <w:pStyle w:val="12"/>
        <w:jc w:val="both"/>
        <w:rPr>
          <w:sz w:val="22"/>
          <w:szCs w:val="22"/>
        </w:rPr>
      </w:pPr>
    </w:p>
    <w:p w14:paraId="5A195C97">
      <w:pPr>
        <w:pStyle w:val="12"/>
        <w:jc w:val="both"/>
        <w:rPr>
          <w:sz w:val="22"/>
          <w:szCs w:val="22"/>
        </w:rPr>
      </w:pPr>
      <w:r>
        <w:rPr>
          <w:b/>
          <w:bCs/>
          <w:sz w:val="22"/>
          <w:szCs w:val="22"/>
        </w:rPr>
        <w:t>3.- Inexistencia de razones objetivas.</w:t>
      </w:r>
      <w:r>
        <w:rPr>
          <w:sz w:val="22"/>
          <w:szCs w:val="22"/>
        </w:rPr>
        <w:t xml:space="preserve"> Cómo decíamos en los párrafos anteriores, el funcionario interino se distingue únicamente con los de carrera en el hecho que aquel se destina a cubrir necesidades provisionales o transitorias que por razón de urgencia no puede la administración cubrir con estos. Precisamente esta urgencia y transitoriedad en la prestación de servicios justifica </w:t>
      </w:r>
      <w:r>
        <w:rPr>
          <w:i/>
          <w:iCs/>
          <w:sz w:val="22"/>
          <w:szCs w:val="22"/>
        </w:rPr>
        <w:t>ab initio</w:t>
      </w:r>
      <w:r>
        <w:rPr>
          <w:sz w:val="22"/>
          <w:szCs w:val="22"/>
        </w:rPr>
        <w:t xml:space="preserve"> que no se aplique el régimen íntegro del funcionario de carrera (artículo 10.5 TREBEP). Ahora bien, en el caso que nos ocupa, </w:t>
      </w:r>
      <w:r>
        <w:rPr>
          <w:sz w:val="22"/>
          <w:szCs w:val="22"/>
          <w:highlight w:val="yellow"/>
        </w:rPr>
        <w:t>vista la duración inusualmente larga de la relación temporal y el mantenimiento prolongado de la relación de interinidad con la finalidad la cobertura de tareas estructurales de XXXXXXXXXXXXXX</w:t>
      </w:r>
      <w:r>
        <w:rPr>
          <w:sz w:val="22"/>
          <w:szCs w:val="22"/>
        </w:rPr>
        <w:t>, la causa objetiva que justificaba la diferencia de regímenes jurídicos ha decaído y, por lo tanto, se tienen que aplicar las mismas condiciones de trabajo en cuanto a la estabilidad de la relación laboral, porque a mismas funciones estables, mismos derechos y obligaciones.</w:t>
      </w:r>
    </w:p>
    <w:p w14:paraId="5CE8B542">
      <w:pPr>
        <w:pStyle w:val="12"/>
        <w:jc w:val="both"/>
        <w:rPr>
          <w:sz w:val="22"/>
          <w:szCs w:val="22"/>
        </w:rPr>
      </w:pPr>
    </w:p>
    <w:p w14:paraId="5CB021DE">
      <w:pPr>
        <w:pStyle w:val="12"/>
        <w:jc w:val="both"/>
        <w:rPr>
          <w:sz w:val="22"/>
          <w:szCs w:val="22"/>
        </w:rPr>
      </w:pPr>
      <w:r>
        <w:rPr>
          <w:b/>
          <w:bCs/>
          <w:sz w:val="22"/>
          <w:szCs w:val="22"/>
        </w:rPr>
        <w:t>4.- Condiciones de trabajo.</w:t>
      </w:r>
      <w:r>
        <w:rPr>
          <w:sz w:val="22"/>
          <w:szCs w:val="22"/>
        </w:rPr>
        <w:t xml:space="preserve"> No hay duda que los requisitos para la finalización de una relación laboral están integrados en el concepto «condición de trabajo» vide </w:t>
      </w:r>
      <w:r>
        <w:rPr>
          <w:b/>
          <w:bCs/>
          <w:sz w:val="22"/>
          <w:szCs w:val="22"/>
        </w:rPr>
        <w:t>STJUE de 14 de septiembre de 2016</w:t>
      </w:r>
      <w:r>
        <w:rPr>
          <w:sz w:val="22"/>
          <w:szCs w:val="22"/>
        </w:rPr>
        <w:t>, asunto C-596/14 apartado 30. Así pues, es imperioso aplicar a la relación que une a las partes las mismas condiciones de trabajo que rigen para los funcionarios de carrera, en particular el derecho a la inamovilidad, estabilidad y permanencia [artículo 14.1 a) TREBEP], porque entendemos que el artículo 10.3 TREBEP y artículo 18 Ley 4/2021, de 16 de abril, de la Función Pública Valenciana ya no es aplicable a una relación temporal claramente desnaturalizada.</w:t>
      </w:r>
    </w:p>
    <w:p w14:paraId="2F72FC8E">
      <w:pPr>
        <w:pStyle w:val="12"/>
        <w:jc w:val="both"/>
        <w:rPr>
          <w:sz w:val="22"/>
          <w:szCs w:val="22"/>
        </w:rPr>
      </w:pPr>
    </w:p>
    <w:p w14:paraId="48941B80">
      <w:pPr>
        <w:pStyle w:val="12"/>
        <w:jc w:val="both"/>
        <w:rPr>
          <w:sz w:val="22"/>
          <w:szCs w:val="22"/>
        </w:rPr>
      </w:pPr>
    </w:p>
    <w:p w14:paraId="128AAEFE">
      <w:pPr>
        <w:pStyle w:val="12"/>
        <w:jc w:val="both"/>
        <w:rPr>
          <w:sz w:val="22"/>
          <w:szCs w:val="22"/>
        </w:rPr>
      </w:pPr>
      <w:r>
        <w:rPr>
          <w:sz w:val="22"/>
          <w:szCs w:val="22"/>
        </w:rPr>
        <w:t>En definitiva, la administración está obligada, de acuerdo a la condición de empleado público temporal de larga duración en abuso de temporalidad de la persona compareciente, a garantizar un mínimo de estabilidad laboral a su relación como sanción al abuso de la temporalidad, reconociendo su derecho a la fijeza, con los mismos derechos y con sujeción al mismo régimen de estabilidad e inamovilidad que rige para los funcionarios de carrera comparables, como situación jurídica individualizada y como sanción a la existencia de una situación abusiva y fraudulenta, en aplicación de la normativa legal vigente y la jurisprudencia expuesta, así como en consideración de las directrices comunitarias.</w:t>
      </w:r>
    </w:p>
    <w:p w14:paraId="63D23E3F">
      <w:pPr>
        <w:pStyle w:val="12"/>
        <w:jc w:val="both"/>
        <w:rPr>
          <w:sz w:val="22"/>
          <w:szCs w:val="22"/>
        </w:rPr>
      </w:pPr>
    </w:p>
    <w:p w14:paraId="4040553B">
      <w:pPr>
        <w:pStyle w:val="12"/>
        <w:jc w:val="both"/>
        <w:rPr>
          <w:sz w:val="22"/>
          <w:szCs w:val="22"/>
        </w:rPr>
      </w:pPr>
    </w:p>
    <w:p w14:paraId="7556F6ED">
      <w:pPr>
        <w:pStyle w:val="12"/>
        <w:jc w:val="both"/>
        <w:rPr>
          <w:sz w:val="22"/>
          <w:szCs w:val="22"/>
        </w:rPr>
      </w:pPr>
      <w:r>
        <w:rPr>
          <w:sz w:val="22"/>
          <w:szCs w:val="22"/>
        </w:rPr>
        <w:t xml:space="preserve">La </w:t>
      </w:r>
      <w:r>
        <w:rPr>
          <w:b/>
          <w:bCs/>
          <w:sz w:val="22"/>
          <w:szCs w:val="22"/>
        </w:rPr>
        <w:t>STJUE de 13 de junio de 2024</w:t>
      </w:r>
      <w:r>
        <w:rPr>
          <w:sz w:val="22"/>
          <w:szCs w:val="22"/>
        </w:rPr>
        <w:t xml:space="preserve"> establece además que:</w:t>
      </w:r>
    </w:p>
    <w:p w14:paraId="341FE265">
      <w:pPr>
        <w:pStyle w:val="12"/>
        <w:jc w:val="both"/>
        <w:rPr>
          <w:sz w:val="22"/>
          <w:szCs w:val="22"/>
        </w:rPr>
      </w:pPr>
    </w:p>
    <w:p w14:paraId="38477A36">
      <w:pPr>
        <w:pStyle w:val="12"/>
        <w:jc w:val="both"/>
        <w:rPr>
          <w:sz w:val="22"/>
          <w:szCs w:val="22"/>
        </w:rPr>
      </w:pPr>
      <w:r>
        <w:rPr>
          <w:sz w:val="22"/>
          <w:szCs w:val="22"/>
        </w:rPr>
        <w:t>-La doctrina de la Sala de lo Contencioso viola la normativa europea con la  jurisprudencia nacional que contempla como medidas para sancionar el abuso de temporalidad  el mantenimiento del empleado público afectado hasta la convocatoria y la resolución de procesos selectivos por la Administración empleadora, procesos que son abiertos  y que no garantizan la estabilidad del personal en abuso</w:t>
      </w:r>
    </w:p>
    <w:p w14:paraId="148F5EDE">
      <w:pPr>
        <w:pStyle w:val="12"/>
        <w:jc w:val="both"/>
        <w:rPr>
          <w:sz w:val="22"/>
          <w:szCs w:val="22"/>
        </w:rPr>
      </w:pPr>
    </w:p>
    <w:p w14:paraId="1CE3501F">
      <w:pPr>
        <w:pStyle w:val="12"/>
        <w:jc w:val="both"/>
        <w:rPr>
          <w:sz w:val="22"/>
          <w:szCs w:val="22"/>
        </w:rPr>
      </w:pPr>
      <w:r>
        <w:rPr>
          <w:sz w:val="22"/>
          <w:szCs w:val="22"/>
        </w:rPr>
        <w:t>-Es indispensable una sanción, que no tiene por qué ser necesariamente la fijeza, pero la fijeza siempre es válida - y por sí sola- como sanción</w:t>
      </w:r>
    </w:p>
    <w:p w14:paraId="1867D217">
      <w:pPr>
        <w:pStyle w:val="12"/>
        <w:jc w:val="both"/>
        <w:rPr>
          <w:sz w:val="22"/>
          <w:szCs w:val="22"/>
        </w:rPr>
      </w:pPr>
    </w:p>
    <w:p w14:paraId="1415A94A">
      <w:pPr>
        <w:pStyle w:val="12"/>
        <w:jc w:val="both"/>
        <w:rPr>
          <w:sz w:val="22"/>
          <w:szCs w:val="22"/>
        </w:rPr>
      </w:pPr>
      <w:r>
        <w:rPr>
          <w:sz w:val="22"/>
          <w:szCs w:val="22"/>
        </w:rPr>
        <w:t>-La conversión en una relación de empleo por tiempo indefinido con las mismas condiciones de cese que el funcionario de carrera pero sin alcanzar la condición de funcionario de carrera.</w:t>
      </w:r>
      <w:bookmarkStart w:id="7" w:name="_Hlk169176186"/>
      <w:bookmarkEnd w:id="7"/>
    </w:p>
    <w:p w14:paraId="46812F77">
      <w:pPr>
        <w:pStyle w:val="12"/>
        <w:jc w:val="both"/>
        <w:rPr>
          <w:sz w:val="22"/>
          <w:szCs w:val="22"/>
        </w:rPr>
      </w:pPr>
    </w:p>
    <w:p w14:paraId="0DA53554">
      <w:pPr>
        <w:pStyle w:val="12"/>
        <w:jc w:val="both"/>
        <w:rPr>
          <w:sz w:val="22"/>
          <w:szCs w:val="22"/>
        </w:rPr>
      </w:pPr>
      <w:r>
        <w:rPr>
          <w:sz w:val="22"/>
          <w:szCs w:val="22"/>
        </w:rPr>
        <w:t xml:space="preserve">La </w:t>
      </w:r>
      <w:r>
        <w:rPr>
          <w:b/>
          <w:bCs/>
          <w:sz w:val="22"/>
          <w:szCs w:val="22"/>
        </w:rPr>
        <w:t>STJUE de 13 de junio de 2024</w:t>
      </w:r>
      <w:r>
        <w:rPr>
          <w:sz w:val="22"/>
          <w:szCs w:val="22"/>
        </w:rPr>
        <w:t xml:space="preserve"> declara que:</w:t>
      </w:r>
    </w:p>
    <w:p w14:paraId="71E9183A">
      <w:pPr>
        <w:pStyle w:val="12"/>
        <w:jc w:val="both"/>
        <w:rPr>
          <w:sz w:val="22"/>
          <w:szCs w:val="22"/>
        </w:rPr>
      </w:pPr>
    </w:p>
    <w:p w14:paraId="2767F7F1">
      <w:pPr>
        <w:pStyle w:val="12"/>
        <w:jc w:val="both"/>
        <w:rPr>
          <w:i/>
          <w:iCs/>
          <w:sz w:val="22"/>
          <w:szCs w:val="22"/>
        </w:rPr>
      </w:pPr>
      <w:r>
        <w:rPr>
          <w:i/>
          <w:iCs/>
          <w:sz w:val="22"/>
          <w:szCs w:val="22"/>
        </w:rPr>
        <w:t>1)      La cláusula 5 del Acuerdo Marco sobre el Trabajo de Duración Determinada, celebrado el 18 de marzo de 1999, que figura en el anexo de la Directiva 1999/70/CE del Consejo, de 28 de junio de 1999, relativa al Acuerdo Marco de la CES, la UNICE y el CEEP sobre el Trabajo de Duración Determinada,</w:t>
      </w:r>
    </w:p>
    <w:p w14:paraId="67B4E245">
      <w:pPr>
        <w:pStyle w:val="12"/>
        <w:jc w:val="both"/>
        <w:rPr>
          <w:i/>
          <w:iCs/>
          <w:sz w:val="22"/>
          <w:szCs w:val="22"/>
        </w:rPr>
      </w:pPr>
    </w:p>
    <w:p w14:paraId="14616F59">
      <w:pPr>
        <w:pStyle w:val="12"/>
        <w:jc w:val="both"/>
        <w:rPr>
          <w:i/>
          <w:iCs/>
          <w:sz w:val="22"/>
          <w:szCs w:val="22"/>
        </w:rPr>
      </w:pPr>
      <w:r>
        <w:rPr>
          <w:i/>
          <w:iCs/>
          <w:sz w:val="22"/>
          <w:szCs w:val="22"/>
        </w:rPr>
        <w:t>debe interpretarse en el sentido de que</w:t>
      </w:r>
    </w:p>
    <w:p w14:paraId="18AF1EA4">
      <w:pPr>
        <w:pStyle w:val="12"/>
        <w:jc w:val="both"/>
        <w:rPr>
          <w:i/>
          <w:iCs/>
          <w:sz w:val="22"/>
          <w:szCs w:val="22"/>
        </w:rPr>
      </w:pPr>
    </w:p>
    <w:p w14:paraId="2BD2770D">
      <w:pPr>
        <w:pStyle w:val="12"/>
        <w:jc w:val="both"/>
        <w:rPr>
          <w:i/>
          <w:iCs/>
          <w:sz w:val="22"/>
          <w:szCs w:val="22"/>
        </w:rPr>
      </w:pPr>
      <w:r>
        <w:rPr>
          <w:i/>
          <w:iCs/>
          <w:sz w:val="22"/>
          <w:szCs w:val="22"/>
        </w:rPr>
        <w:t>no se opone a una normativa nacional conforme a la cual el abuso en la utilización de sucesivos contratos o relaciones de empleo de duración determinada en el sector público se produce cuando la Administración Pública en cuestión no cumple los plazos que el Derecho interno establece para proveer la plaza ocupada por el empleado público temporal de que se trate, por cuanto, en semejante situación, esos sucesivos contratos o relaciones de empleo de duración determinada cubren necesidades de esa Administración que no son provisionales, sino permanentes y estables.</w:t>
      </w:r>
    </w:p>
    <w:p w14:paraId="3A759E94">
      <w:pPr>
        <w:pStyle w:val="12"/>
        <w:jc w:val="both"/>
        <w:rPr>
          <w:i/>
          <w:iCs/>
          <w:sz w:val="22"/>
          <w:szCs w:val="22"/>
        </w:rPr>
      </w:pPr>
    </w:p>
    <w:p w14:paraId="2D6DBEE4">
      <w:pPr>
        <w:pStyle w:val="12"/>
        <w:jc w:val="both"/>
        <w:rPr>
          <w:i/>
          <w:iCs/>
          <w:sz w:val="22"/>
          <w:szCs w:val="22"/>
        </w:rPr>
      </w:pPr>
      <w:r>
        <w:rPr>
          <w:i/>
          <w:iCs/>
          <w:sz w:val="22"/>
          <w:szCs w:val="22"/>
        </w:rPr>
        <w:t>2)      La cláusula 5 del Acuerdo Marco sobre el Trabajo de Duración Determinada, celebrado el 18 de marzo de 1999, que figura en el anexo de la Directiva 1999/70, a la luz de los principios de proporcionalidad y de reparación íntegra del perjuicio sufrido,</w:t>
      </w:r>
    </w:p>
    <w:p w14:paraId="05951820">
      <w:pPr>
        <w:pStyle w:val="12"/>
        <w:jc w:val="both"/>
        <w:rPr>
          <w:i/>
          <w:iCs/>
          <w:sz w:val="22"/>
          <w:szCs w:val="22"/>
        </w:rPr>
      </w:pPr>
    </w:p>
    <w:p w14:paraId="2F6919F0">
      <w:pPr>
        <w:pStyle w:val="12"/>
        <w:jc w:val="both"/>
        <w:rPr>
          <w:i/>
          <w:iCs/>
          <w:sz w:val="22"/>
          <w:szCs w:val="22"/>
        </w:rPr>
      </w:pPr>
      <w:r>
        <w:rPr>
          <w:i/>
          <w:iCs/>
          <w:sz w:val="22"/>
          <w:szCs w:val="22"/>
        </w:rPr>
        <w:t>debe interpretarse en el sentido de que</w:t>
      </w:r>
    </w:p>
    <w:p w14:paraId="5AE3E542">
      <w:pPr>
        <w:pStyle w:val="12"/>
        <w:jc w:val="both"/>
        <w:rPr>
          <w:i/>
          <w:iCs/>
          <w:sz w:val="22"/>
          <w:szCs w:val="22"/>
        </w:rPr>
      </w:pPr>
    </w:p>
    <w:p w14:paraId="7DF1A206">
      <w:pPr>
        <w:pStyle w:val="12"/>
        <w:jc w:val="both"/>
        <w:rPr>
          <w:i/>
          <w:iCs/>
          <w:sz w:val="22"/>
          <w:szCs w:val="22"/>
        </w:rPr>
      </w:pPr>
      <w:r>
        <w:rPr>
          <w:i/>
          <w:iCs/>
          <w:sz w:val="22"/>
          <w:szCs w:val="22"/>
        </w:rPr>
        <w:t>se opone a una jurisprudencia y a una normativa nacionales que contemplan como medidas para sancionar la utilización abusiva de sucesivos contratos o relaciones de empleo de duración determinada, respectivamente, el mantenimiento del empleado público afectado hasta la convocatoria y resolución de procesos selectivos por la Administración empleadora y la convocatoria de tales procesos y el abono de una compensación económica con un doble límite máximo en favor únicamente del empleado público que no supere dichos procesos, cuando esas medidas no sean medidas proporcionadas ni medidas suficientemente efectivas y disuasorias para garantizar la plena eficacia de las normas adoptadas en virtud de dicha cláusula 5.</w:t>
      </w:r>
    </w:p>
    <w:p w14:paraId="26A431C3">
      <w:pPr>
        <w:pStyle w:val="12"/>
        <w:jc w:val="both"/>
        <w:rPr>
          <w:i/>
          <w:iCs/>
          <w:sz w:val="22"/>
          <w:szCs w:val="22"/>
        </w:rPr>
      </w:pPr>
    </w:p>
    <w:p w14:paraId="1618823C">
      <w:pPr>
        <w:pStyle w:val="12"/>
        <w:jc w:val="both"/>
        <w:rPr>
          <w:i/>
          <w:iCs/>
          <w:sz w:val="22"/>
          <w:szCs w:val="22"/>
        </w:rPr>
      </w:pPr>
      <w:r>
        <w:rPr>
          <w:i/>
          <w:iCs/>
          <w:sz w:val="22"/>
          <w:szCs w:val="22"/>
        </w:rPr>
        <w:t>3)      La cláusula 5 del Acuerdo Marco sobre el Trabajo de Duración Determinada, celebrado el 18 de marzo de 1999, que figura en el anexo de la Directiva 1999/70, a la luz del artículo 47 de la Carta de los Derechos Fundamentales de la Unión Europea,</w:t>
      </w:r>
    </w:p>
    <w:p w14:paraId="1E99C417">
      <w:pPr>
        <w:pStyle w:val="12"/>
        <w:jc w:val="both"/>
        <w:rPr>
          <w:i/>
          <w:iCs/>
          <w:sz w:val="22"/>
          <w:szCs w:val="22"/>
        </w:rPr>
      </w:pPr>
    </w:p>
    <w:p w14:paraId="53C2613D">
      <w:pPr>
        <w:pStyle w:val="12"/>
        <w:jc w:val="both"/>
        <w:rPr>
          <w:i/>
          <w:iCs/>
          <w:sz w:val="22"/>
          <w:szCs w:val="22"/>
        </w:rPr>
      </w:pPr>
      <w:r>
        <w:rPr>
          <w:i/>
          <w:iCs/>
          <w:sz w:val="22"/>
          <w:szCs w:val="22"/>
        </w:rPr>
        <w:t>debe interpretarse en el sentido de que,</w:t>
      </w:r>
    </w:p>
    <w:p w14:paraId="56074547">
      <w:pPr>
        <w:pStyle w:val="12"/>
        <w:jc w:val="both"/>
        <w:rPr>
          <w:i/>
          <w:iCs/>
          <w:sz w:val="22"/>
          <w:szCs w:val="22"/>
        </w:rPr>
      </w:pPr>
    </w:p>
    <w:p w14:paraId="25118280">
      <w:pPr>
        <w:pStyle w:val="12"/>
        <w:jc w:val="both"/>
        <w:rPr>
          <w:i/>
          <w:iCs/>
          <w:sz w:val="22"/>
          <w:szCs w:val="22"/>
        </w:rPr>
      </w:pPr>
      <w:r>
        <w:rPr>
          <w:i/>
          <w:iCs/>
          <w:sz w:val="22"/>
          <w:szCs w:val="22"/>
        </w:rPr>
        <w:t>a falta de medidas adecuadas en el Derecho nacional para prevenir y, en su caso, sancionar, conforme a la cláusula 5, los abusos derivados de la utilización de sucesivos contratos o relaciones de empleo de duración determinada, la conversión de esos sucesivos contratos o relaciones de empleo de duración determinada en contratos o relaciones de empleo por tiempo indefinido puede constituir tal medida, siempre que esa conversión no implique una interpretación contra legem del Derecho nacional.</w:t>
      </w:r>
    </w:p>
    <w:p w14:paraId="76AF460C">
      <w:pPr>
        <w:pStyle w:val="12"/>
        <w:jc w:val="both"/>
        <w:rPr>
          <w:i/>
          <w:iCs/>
          <w:sz w:val="22"/>
          <w:szCs w:val="22"/>
        </w:rPr>
      </w:pPr>
    </w:p>
    <w:p w14:paraId="0525B9F3">
      <w:pPr>
        <w:pStyle w:val="12"/>
        <w:jc w:val="both"/>
        <w:rPr>
          <w:sz w:val="22"/>
          <w:szCs w:val="22"/>
        </w:rPr>
      </w:pPr>
    </w:p>
    <w:p w14:paraId="40B794C9">
      <w:pPr>
        <w:pStyle w:val="12"/>
        <w:jc w:val="both"/>
        <w:rPr>
          <w:sz w:val="22"/>
          <w:szCs w:val="22"/>
        </w:rPr>
      </w:pPr>
      <w:r>
        <w:rPr>
          <w:sz w:val="22"/>
          <w:szCs w:val="22"/>
        </w:rPr>
        <w:t>Por todo lo que se ha manifestado con anterioridad,</w:t>
      </w:r>
    </w:p>
    <w:p w14:paraId="195A9C85">
      <w:pPr>
        <w:pStyle w:val="12"/>
        <w:jc w:val="both"/>
        <w:rPr>
          <w:sz w:val="22"/>
          <w:szCs w:val="22"/>
        </w:rPr>
      </w:pPr>
    </w:p>
    <w:p w14:paraId="54CE1DE9">
      <w:pPr>
        <w:pStyle w:val="12"/>
        <w:jc w:val="both"/>
        <w:rPr>
          <w:sz w:val="22"/>
          <w:szCs w:val="22"/>
        </w:rPr>
      </w:pPr>
      <w:r>
        <w:rPr>
          <w:sz w:val="22"/>
          <w:szCs w:val="22"/>
        </w:rPr>
        <w:t>SOLICITO que, en mérito a lo que se ha expuesto, se tenga por presentado este escrito, se sirva admitirlo, tenga por iniciado el procedimiento administrativo y, previos los trámites legalmente establecidos, dicte resolución expresa teniendo en cuenta lo establecido por la STJUE de 13 de junio de 2024,</w:t>
      </w:r>
      <w:bookmarkStart w:id="8" w:name="_Hlk169176205"/>
      <w:bookmarkEnd w:id="8"/>
    </w:p>
    <w:p w14:paraId="373E5957">
      <w:pPr>
        <w:pStyle w:val="12"/>
        <w:jc w:val="both"/>
        <w:rPr>
          <w:sz w:val="22"/>
          <w:szCs w:val="22"/>
        </w:rPr>
      </w:pPr>
    </w:p>
    <w:p w14:paraId="087C7697">
      <w:pPr>
        <w:pStyle w:val="12"/>
        <w:jc w:val="both"/>
        <w:rPr>
          <w:sz w:val="22"/>
          <w:szCs w:val="22"/>
        </w:rPr>
      </w:pPr>
      <w:r>
        <w:rPr>
          <w:b/>
          <w:bCs/>
          <w:sz w:val="22"/>
          <w:szCs w:val="22"/>
        </w:rPr>
        <w:t>DECLARANDO</w:t>
      </w:r>
    </w:p>
    <w:p w14:paraId="1D054592">
      <w:pPr>
        <w:pStyle w:val="12"/>
        <w:jc w:val="both"/>
        <w:rPr>
          <w:sz w:val="22"/>
          <w:szCs w:val="22"/>
        </w:rPr>
      </w:pPr>
    </w:p>
    <w:p w14:paraId="685A4E7B">
      <w:pPr>
        <w:pStyle w:val="12"/>
        <w:jc w:val="both"/>
        <w:rPr>
          <w:sz w:val="22"/>
          <w:szCs w:val="22"/>
        </w:rPr>
      </w:pPr>
      <w:r>
        <w:rPr>
          <w:b/>
          <w:bCs/>
          <w:sz w:val="22"/>
          <w:szCs w:val="22"/>
        </w:rPr>
        <w:t>Primero.-</w:t>
      </w:r>
      <w:r>
        <w:rPr>
          <w:sz w:val="22"/>
          <w:szCs w:val="22"/>
        </w:rPr>
        <w:t xml:space="preserve"> La existencia de una situación abusiva y fraudulenta en la relación de ocupación en régimen administrativo que me une con la Generalitat Valenciana.</w:t>
      </w:r>
    </w:p>
    <w:p w14:paraId="260F8D0B">
      <w:pPr>
        <w:pStyle w:val="12"/>
        <w:jc w:val="both"/>
        <w:rPr>
          <w:sz w:val="22"/>
          <w:szCs w:val="22"/>
        </w:rPr>
      </w:pPr>
    </w:p>
    <w:p w14:paraId="220D4FEF">
      <w:pPr>
        <w:pStyle w:val="12"/>
        <w:jc w:val="both"/>
        <w:rPr>
          <w:sz w:val="22"/>
          <w:szCs w:val="22"/>
        </w:rPr>
      </w:pPr>
      <w:r>
        <w:rPr>
          <w:b/>
          <w:bCs/>
          <w:sz w:val="22"/>
          <w:szCs w:val="22"/>
        </w:rPr>
        <w:t>Segundo.-</w:t>
      </w:r>
      <w:r>
        <w:rPr>
          <w:sz w:val="22"/>
          <w:szCs w:val="22"/>
        </w:rPr>
        <w:t xml:space="preserve"> El nombramiento como </w:t>
      </w:r>
      <w:r>
        <w:rPr>
          <w:b/>
          <w:bCs/>
          <w:sz w:val="22"/>
          <w:szCs w:val="22"/>
        </w:rPr>
        <w:t>funcionario de carrera</w:t>
      </w:r>
      <w:r>
        <w:rPr>
          <w:sz w:val="22"/>
          <w:szCs w:val="22"/>
        </w:rPr>
        <w:t xml:space="preserve"> al servicio de</w:t>
      </w:r>
      <w:r>
        <w:rPr>
          <w:sz w:val="22"/>
          <w:szCs w:val="22"/>
          <w:highlight w:val="yellow"/>
        </w:rPr>
        <w:t xml:space="preserve"> XXXXXXXXXXX</w:t>
      </w:r>
      <w:r>
        <w:rPr>
          <w:sz w:val="22"/>
          <w:szCs w:val="22"/>
        </w:rPr>
        <w:t xml:space="preserve"> con destino en el puesto de trabajo al que me encuentro adscrito o, de no ser posible, en otro de análogas condiciones, y en todo caso, en el mismo cuerpo, escala, especialidad o categoría en que me encuentro adscrito y como titular en propiedad de la plaza que  se me adjudique; o subsidiariamente, se proceda por la Administración, a su nombramiento como </w:t>
      </w:r>
      <w:r>
        <w:rPr>
          <w:b/>
          <w:bCs/>
          <w:sz w:val="22"/>
          <w:szCs w:val="22"/>
        </w:rPr>
        <w:t>personal publico fijo equiparable a los funcionarios de carrera</w:t>
      </w:r>
      <w:r>
        <w:rPr>
          <w:sz w:val="22"/>
          <w:szCs w:val="22"/>
        </w:rPr>
        <w:t xml:space="preserve"> al servicio de la Administración empleadora en el cuerpo, especialidad, servicio, centro u órgano al que me encuentro adscrito, bajo los principios de permanencia e inmovilidad y con la misma estabilidad en el empleo que aquellos, con todos los derechos y obligaciones inherentes, en régimen de igualdad con los funcionarios de carrera comparables, con derecho permanecer en el servicio u órgano y en el puesto de trabajo al que está actualmente destinado o, de no ser posible, en otro de análogas condiciones; y en todo caso, o alternativamente, que se proceda por la Administración a reconocer el derecho a permanecer en el puesto de trabajo que actualmente desempeño o, de no ser posible, en otro de análogas condiciones, como titular y propietario del mismo, aplicándole las mismas causas, requisitos y procedimientos para el cese en dicho puesto de trabajo que la Ley establece para los homónimos funcionarios de carrera comparables, con los mismos derechos y condiciones de trabajo que estos últimos.</w:t>
      </w:r>
    </w:p>
    <w:p w14:paraId="56E235B0">
      <w:pPr>
        <w:pStyle w:val="12"/>
        <w:jc w:val="both"/>
        <w:rPr>
          <w:sz w:val="22"/>
          <w:szCs w:val="22"/>
        </w:rPr>
      </w:pPr>
    </w:p>
    <w:p w14:paraId="5A809601">
      <w:pPr>
        <w:pStyle w:val="12"/>
        <w:jc w:val="both"/>
        <w:rPr>
          <w:sz w:val="22"/>
          <w:szCs w:val="22"/>
        </w:rPr>
      </w:pPr>
      <w:r>
        <w:rPr>
          <w:b/>
          <w:bCs/>
          <w:sz w:val="22"/>
          <w:szCs w:val="22"/>
        </w:rPr>
        <w:t>Tercero.-</w:t>
      </w:r>
      <w:r>
        <w:rPr>
          <w:sz w:val="22"/>
          <w:szCs w:val="22"/>
        </w:rPr>
        <w:t xml:space="preserve"> En cualquier caso, se establezca mi fecha de antigüedad la que coincide con la fecha de mi nombramiento que consta al expediente personal del </w:t>
      </w:r>
      <w:r>
        <w:rPr>
          <w:sz w:val="22"/>
          <w:szCs w:val="22"/>
          <w:highlight w:val="yellow"/>
        </w:rPr>
        <w:t>XX de XXXX de 20XX.</w:t>
      </w:r>
    </w:p>
    <w:p w14:paraId="7B3C1624">
      <w:pPr>
        <w:pStyle w:val="12"/>
        <w:jc w:val="both"/>
        <w:rPr>
          <w:sz w:val="22"/>
          <w:szCs w:val="22"/>
        </w:rPr>
      </w:pPr>
    </w:p>
    <w:p w14:paraId="23979263">
      <w:pPr>
        <w:pStyle w:val="12"/>
        <w:jc w:val="both"/>
        <w:rPr>
          <w:sz w:val="22"/>
          <w:szCs w:val="22"/>
        </w:rPr>
      </w:pPr>
      <w:r>
        <w:rPr>
          <w:sz w:val="22"/>
          <w:szCs w:val="22"/>
        </w:rPr>
        <w:t xml:space="preserve">Por lo expuesto, </w:t>
      </w:r>
    </w:p>
    <w:p w14:paraId="019D5752">
      <w:pPr>
        <w:pStyle w:val="12"/>
        <w:jc w:val="both"/>
        <w:rPr>
          <w:sz w:val="22"/>
          <w:szCs w:val="22"/>
        </w:rPr>
      </w:pPr>
    </w:p>
    <w:p w14:paraId="761856F6">
      <w:pPr>
        <w:pStyle w:val="12"/>
        <w:jc w:val="both"/>
        <w:rPr>
          <w:sz w:val="22"/>
          <w:szCs w:val="22"/>
        </w:rPr>
      </w:pPr>
      <w:r>
        <w:rPr>
          <w:b/>
          <w:bCs/>
          <w:sz w:val="22"/>
          <w:szCs w:val="22"/>
        </w:rPr>
        <w:t>SOLICITO A ESTE ORGANISMO</w:t>
      </w:r>
      <w:r>
        <w:rPr>
          <w:sz w:val="22"/>
          <w:szCs w:val="22"/>
        </w:rPr>
        <w:t>, tenga a bien recibir este escrito, y tras los trámites oportunos, estime íntegramente la presente SOLICITUD DE FIJEZA y por Resolución, reconozca la integración en la planti</w:t>
      </w:r>
      <w:r>
        <w:rPr>
          <w:color w:val="auto"/>
          <w:sz w:val="22"/>
          <w:szCs w:val="22"/>
        </w:rPr>
        <w:t xml:space="preserve">lla de </w:t>
      </w:r>
      <w:r>
        <w:rPr>
          <w:sz w:val="22"/>
          <w:szCs w:val="22"/>
          <w:highlight w:val="yellow"/>
        </w:rPr>
        <w:t>la XXXXXXXXX</w:t>
      </w:r>
      <w:r>
        <w:rPr>
          <w:color w:val="auto"/>
          <w:sz w:val="22"/>
          <w:szCs w:val="22"/>
        </w:rPr>
        <w:t xml:space="preserve"> como funcionario de carrera o subsidiariamente como personal publico fijo de plantilla con los mismos derechos que el resto de personal funcionarial, con antigüedad desde el </w:t>
      </w:r>
      <w:r>
        <w:rPr>
          <w:sz w:val="22"/>
          <w:szCs w:val="22"/>
          <w:highlight w:val="yellow"/>
        </w:rPr>
        <w:t>XX de XXXXX de 20XX</w:t>
      </w:r>
      <w:r>
        <w:rPr>
          <w:color w:val="auto"/>
          <w:sz w:val="22"/>
          <w:szCs w:val="22"/>
        </w:rPr>
        <w:t xml:space="preserve"> con la categoría de </w:t>
      </w:r>
      <w:r>
        <w:rPr>
          <w:sz w:val="22"/>
          <w:szCs w:val="22"/>
          <w:highlight w:val="yellow"/>
        </w:rPr>
        <w:t>XXXXXXXXX</w:t>
      </w:r>
      <w:r>
        <w:rPr>
          <w:color w:val="auto"/>
          <w:sz w:val="22"/>
          <w:szCs w:val="22"/>
        </w:rPr>
        <w:t xml:space="preserve">, y dicte resolución </w:t>
      </w:r>
      <w:r>
        <w:rPr>
          <w:sz w:val="22"/>
          <w:szCs w:val="22"/>
        </w:rPr>
        <w:t>expresa, teniendo en cuenta lo establecido por la STJUE de 13 de junio de 2024,</w:t>
      </w:r>
    </w:p>
    <w:p w14:paraId="19AF14EA">
      <w:pPr>
        <w:pStyle w:val="12"/>
        <w:jc w:val="both"/>
        <w:rPr>
          <w:sz w:val="22"/>
          <w:szCs w:val="22"/>
        </w:rPr>
      </w:pPr>
    </w:p>
    <w:p w14:paraId="1036DB83">
      <w:pPr>
        <w:pStyle w:val="12"/>
        <w:jc w:val="both"/>
        <w:rPr>
          <w:sz w:val="22"/>
          <w:szCs w:val="22"/>
        </w:rPr>
      </w:pPr>
    </w:p>
    <w:p w14:paraId="2C057F7E">
      <w:pPr>
        <w:pStyle w:val="12"/>
        <w:jc w:val="both"/>
        <w:rPr>
          <w:sz w:val="22"/>
          <w:szCs w:val="22"/>
        </w:rPr>
      </w:pPr>
      <w:r>
        <w:rPr>
          <w:sz w:val="22"/>
          <w:szCs w:val="22"/>
        </w:rPr>
        <w:t xml:space="preserve">En ………………………….., a …….. de ……………………. de ................ </w:t>
      </w:r>
    </w:p>
    <w:p w14:paraId="0B3E041C">
      <w:pPr>
        <w:pStyle w:val="12"/>
        <w:jc w:val="both"/>
        <w:rPr>
          <w:sz w:val="22"/>
          <w:szCs w:val="22"/>
        </w:rPr>
      </w:pPr>
    </w:p>
    <w:p w14:paraId="7F13065E">
      <w:pPr>
        <w:spacing w:before="0" w:after="160"/>
        <w:jc w:val="both"/>
        <w:rPr>
          <w:rFonts w:ascii="Arial" w:hAnsi="Arial"/>
        </w:rPr>
      </w:pPr>
      <w:r>
        <w:rPr>
          <w:rFonts w:ascii="Arial" w:hAnsi="Arial"/>
        </w:rPr>
        <w:t>FIRMA:</w:t>
      </w:r>
    </w:p>
    <w:sectPr>
      <w:pgSz w:w="11906" w:h="16838"/>
      <w:pgMar w:top="1417" w:right="1701" w:bottom="1417" w:left="1701" w:header="0"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OpenSymbol">
    <w:altName w:val="Segoe Print"/>
    <w:panose1 w:val="00000000000000000000"/>
    <w:charset w:val="00"/>
    <w:family w:val="roman"/>
    <w:pitch w:val="default"/>
    <w:sig w:usb0="00000000" w:usb1="00000000" w:usb2="00000000" w:usb3="00000000" w:csb0="00000000"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autoHyphenation/>
  <w:hyphenationZone w:val="425"/>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3348BF"/>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widowControl/>
      <w:suppressAutoHyphens/>
      <w:bidi w:val="0"/>
      <w:spacing w:before="0" w:after="160" w:line="259" w:lineRule="auto"/>
      <w:jc w:val="left"/>
    </w:pPr>
    <w:rPr>
      <w:rFonts w:asciiTheme="minorHAnsi" w:hAnsiTheme="minorHAnsi" w:eastAsiaTheme="minorHAnsi" w:cstheme="minorBidi"/>
      <w:color w:val="auto"/>
      <w:kern w:val="2"/>
      <w:sz w:val="22"/>
      <w:szCs w:val="22"/>
      <w:lang w:val="es-ES"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caption"/>
    <w:basedOn w:val="1"/>
    <w:qFormat/>
    <w:uiPriority w:val="0"/>
    <w:pPr>
      <w:suppressLineNumbers/>
      <w:spacing w:before="120" w:after="120"/>
    </w:pPr>
    <w:rPr>
      <w:rFonts w:cs="Arial"/>
      <w:i/>
      <w:iCs/>
      <w:sz w:val="24"/>
      <w:szCs w:val="24"/>
    </w:rPr>
  </w:style>
  <w:style w:type="paragraph" w:styleId="5">
    <w:name w:val="List"/>
    <w:basedOn w:val="6"/>
    <w:uiPriority w:val="0"/>
    <w:rPr>
      <w:rFonts w:cs="Arial"/>
    </w:rPr>
  </w:style>
  <w:style w:type="paragraph" w:styleId="6">
    <w:name w:val="Body Text"/>
    <w:basedOn w:val="1"/>
    <w:uiPriority w:val="0"/>
    <w:pPr>
      <w:spacing w:before="0" w:after="140" w:line="276" w:lineRule="auto"/>
    </w:pPr>
  </w:style>
  <w:style w:type="paragraph" w:styleId="7">
    <w:name w:val="Title"/>
    <w:basedOn w:val="1"/>
    <w:next w:val="6"/>
    <w:qFormat/>
    <w:uiPriority w:val="0"/>
    <w:pPr>
      <w:keepNext/>
      <w:spacing w:before="240" w:after="120"/>
    </w:pPr>
    <w:rPr>
      <w:rFonts w:ascii="Liberation Sans" w:hAnsi="Liberation Sans" w:eastAsia="Microsoft YaHei" w:cs="Arial"/>
      <w:sz w:val="28"/>
      <w:szCs w:val="28"/>
    </w:rPr>
  </w:style>
  <w:style w:type="character" w:customStyle="1" w:styleId="8">
    <w:name w:val="Viñetas"/>
    <w:qFormat/>
    <w:uiPriority w:val="0"/>
    <w:rPr>
      <w:rFonts w:ascii="OpenSymbol" w:hAnsi="OpenSymbol" w:eastAsia="OpenSymbol" w:cs="OpenSymbol"/>
    </w:rPr>
  </w:style>
  <w:style w:type="character" w:customStyle="1" w:styleId="9">
    <w:name w:val="Enlace de Internet"/>
    <w:uiPriority w:val="0"/>
    <w:rPr>
      <w:color w:val="000080"/>
      <w:u w:val="single"/>
    </w:rPr>
  </w:style>
  <w:style w:type="paragraph" w:customStyle="1" w:styleId="10">
    <w:name w:val="Título1"/>
    <w:basedOn w:val="1"/>
    <w:next w:val="6"/>
    <w:qFormat/>
    <w:uiPriority w:val="0"/>
    <w:pPr>
      <w:keepNext/>
      <w:spacing w:before="240" w:after="120"/>
    </w:pPr>
    <w:rPr>
      <w:rFonts w:ascii="Liberation Sans" w:hAnsi="Liberation Sans" w:eastAsia="Microsoft YaHei" w:cs="Arial"/>
      <w:sz w:val="28"/>
      <w:szCs w:val="28"/>
    </w:rPr>
  </w:style>
  <w:style w:type="paragraph" w:customStyle="1" w:styleId="11">
    <w:name w:val="Índice"/>
    <w:basedOn w:val="1"/>
    <w:qFormat/>
    <w:uiPriority w:val="0"/>
    <w:pPr>
      <w:suppressLineNumbers/>
    </w:pPr>
    <w:rPr>
      <w:rFonts w:cs="Arial"/>
    </w:rPr>
  </w:style>
  <w:style w:type="paragraph" w:customStyle="1" w:styleId="12">
    <w:name w:val="Default"/>
    <w:qFormat/>
    <w:uiPriority w:val="0"/>
    <w:pPr>
      <w:widowControl/>
      <w:suppressAutoHyphens/>
      <w:bidi w:val="0"/>
      <w:spacing w:before="0" w:after="0"/>
      <w:jc w:val="left"/>
    </w:pPr>
    <w:rPr>
      <w:rFonts w:ascii="Arial" w:hAnsi="Arial" w:eastAsia="Calibri" w:cs="Arial"/>
      <w:color w:val="000000"/>
      <w:kern w:val="0"/>
      <w:sz w:val="24"/>
      <w:szCs w:val="24"/>
      <w:lang w:val="es-ES" w:eastAsia="en-US" w:bidi="ar-SA"/>
      <w14:ligatures w14:val="standardContextua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Generalitat Valenciana</Company>
  <Pages>14</Pages>
  <Words>6801</Words>
  <Characters>36469</Characters>
  <Paragraphs>120</Paragraphs>
  <TotalTime>500</TotalTime>
  <ScaleCrop>false</ScaleCrop>
  <LinksUpToDate>false</LinksUpToDate>
  <CharactersWithSpaces>43183</CharactersWithSpaces>
  <Application>WPS Office_12.2.0.17119_F1E327BC-269C-435d-A152-05C5408002CA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2024-05-15T21:13:00Z</dcterms:created>
  <dc:creator>CENDOJ</dc:creator>
  <cp:keywords>Jurisprudencia Tribunal Superior de Justicia. Sala de lo Social Social STSJ PV 74/2024 ES TSJPV 2024 74</cp:keywords>
  <cp:lastModifiedBy>Ramon Juan Diaz Reyes</cp:lastModifiedBy>
  <dcterms:modified xsi:type="dcterms:W3CDTF">2024-06-18T16:08:23Z</dcterms:modified>
  <dc:subject>Tribunal Superior de Justicia. Sala de lo Social - Social</dc:subject>
  <dc:title>STSJ PV 74/2024 - ECLI:ES:TSJPV:2024:74 - Poder Judicial</dc:title>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Generalitat Valenciana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3082-12.2.0.17119</vt:lpwstr>
  </property>
  <property fmtid="{D5CDD505-2E9C-101B-9397-08002B2CF9AE}" pid="10" name="ICV">
    <vt:lpwstr>2E52A8A0A9B6458FB3342FCC9343406A_12</vt:lpwstr>
  </property>
</Properties>
</file>